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19F" w:rsidRDefault="00C017BC" w:rsidP="00C017BC">
      <w:pPr>
        <w:pStyle w:val="BodyText"/>
        <w:tabs>
          <w:tab w:val="left" w:pos="567"/>
        </w:tabs>
        <w:jc w:val="center"/>
        <w:rPr>
          <w:rFonts w:ascii="Times New Roman" w:hAnsi="Times New Roman" w:cs="Times New Roman"/>
          <w:b/>
          <w:sz w:val="27"/>
          <w:szCs w:val="27"/>
          <w:lang w:val="en-US"/>
        </w:rPr>
      </w:pPr>
      <w:r w:rsidRPr="00C017BC">
        <w:rPr>
          <w:rFonts w:ascii="Times New Roman" w:hAnsi="Times New Roman" w:cs="Times New Roman"/>
          <w:b/>
          <w:sz w:val="27"/>
          <w:szCs w:val="27"/>
          <w:lang w:val="en-US"/>
        </w:rPr>
        <w:t>THAM LUẬN ĐÁNH GIÁ QUY ĐỊNH CỦA LUẬT HÔN NHÂN VÀ GIA ĐÌNH NĂM 2014 VỀ QUAN HẸ HÔN NHÂN VÀ GIA ĐÌNH CÓ YẾU TỐ NƯỚC NGOÀI</w:t>
      </w:r>
    </w:p>
    <w:p w:rsidR="008D4048" w:rsidRPr="00C017BC" w:rsidRDefault="008D4048" w:rsidP="00C017BC">
      <w:pPr>
        <w:pStyle w:val="BodyText"/>
        <w:tabs>
          <w:tab w:val="left" w:pos="567"/>
        </w:tabs>
        <w:jc w:val="center"/>
        <w:rPr>
          <w:rFonts w:ascii="Times New Roman" w:hAnsi="Times New Roman" w:cs="Times New Roman"/>
          <w:b/>
          <w:sz w:val="27"/>
          <w:szCs w:val="27"/>
          <w:lang w:val="en-US"/>
        </w:rPr>
      </w:pPr>
    </w:p>
    <w:p w:rsidR="008D4048" w:rsidRDefault="00C017BC" w:rsidP="00C017BC">
      <w:pPr>
        <w:pStyle w:val="BodyTextIndent"/>
        <w:spacing w:before="80" w:after="80" w:line="252" w:lineRule="auto"/>
        <w:rPr>
          <w:sz w:val="27"/>
        </w:rPr>
      </w:pPr>
      <w:r>
        <w:rPr>
          <w:sz w:val="27"/>
        </w:rPr>
        <w:t>Tham luận này có nhiều nội dung liên quan đến Tham luận Đánh giá quy định của Luật hôn nhân và gia đình năm 2014 trong lĩnh vực hộ tịch và thực tiễn giải quyết các vụ việc về hôn nhân và gia đình</w:t>
      </w:r>
      <w:r w:rsidR="00B55B13">
        <w:rPr>
          <w:sz w:val="27"/>
        </w:rPr>
        <w:t xml:space="preserve"> (</w:t>
      </w:r>
      <w:r>
        <w:rPr>
          <w:sz w:val="27"/>
        </w:rPr>
        <w:t xml:space="preserve">HNGĐ) của ngành tòa án nhân dân. Những số liệu thể hiện sự phát triển của quan hệ hôn nhân và gia đình có yếu tố nước ngoài, những vướng mắc phát sinh trong giải quyết các vụ việc này tại cơ quan đăng ký hộ tịch và tòa án nhân dân các cấp sẽ được đề cập cụ thể trong các Tham luận nêu trên. Ngoài ra </w:t>
      </w:r>
      <w:r w:rsidRPr="00D02DB9">
        <w:rPr>
          <w:sz w:val="27"/>
        </w:rPr>
        <w:t xml:space="preserve">Nghị định 126/2014/NĐ-CP quy định chi tiết một số điều và biện pháp thi hành Luật HNGĐ quy định về tổ chức và hoạt động tư vấn, hỗ trợ </w:t>
      </w:r>
      <w:r>
        <w:rPr>
          <w:sz w:val="27"/>
        </w:rPr>
        <w:t xml:space="preserve">hôn nhân gia đình </w:t>
      </w:r>
      <w:r w:rsidRPr="00D02DB9">
        <w:rPr>
          <w:sz w:val="27"/>
        </w:rPr>
        <w:t>có yếu tố</w:t>
      </w:r>
      <w:r>
        <w:rPr>
          <w:sz w:val="27"/>
        </w:rPr>
        <w:t xml:space="preserve"> nước ngoài, trong đó các trung tâm tư vấn, hỗ trợ HNGĐ có yếu tố nước ngoài thuộc Hội liên hiệp phụ nữ có quyền tư vấn bồi dưỡng cho công dân Việt Nam về pháp luật về HNGĐ, về nhập cư của nước mà người yêu cầu dự định kết hôn với công dân nước đó. Nội dung này cũng được đề cập trong Tham luận riêng của Trung ương Hội liên hiệp phụ nữ Việt Nam. </w:t>
      </w:r>
    </w:p>
    <w:p w:rsidR="00C017BC" w:rsidRDefault="00C017BC" w:rsidP="00C017BC">
      <w:pPr>
        <w:pStyle w:val="BodyTextIndent"/>
        <w:spacing w:before="80" w:after="80" w:line="252" w:lineRule="auto"/>
        <w:rPr>
          <w:sz w:val="27"/>
        </w:rPr>
      </w:pPr>
      <w:r>
        <w:rPr>
          <w:sz w:val="27"/>
        </w:rPr>
        <w:t>Để tránh trùng lặp, Tham luận này chỉ tập trung vào một số vấn đề về tư pháp quốc tế, so sánh Luật hôn nhân và gia đình năm 2014 với Bộ luật dân sự năm 2015 và một số điều ước quốc tế có liên quan.</w:t>
      </w:r>
    </w:p>
    <w:p w:rsidR="00B55B13" w:rsidRDefault="00B55B13" w:rsidP="0018423A">
      <w:pPr>
        <w:pStyle w:val="BodyTextIndent"/>
        <w:spacing w:before="0" w:after="80" w:line="252" w:lineRule="auto"/>
        <w:rPr>
          <w:sz w:val="27"/>
        </w:rPr>
      </w:pPr>
      <w:r>
        <w:rPr>
          <w:sz w:val="27"/>
        </w:rPr>
        <w:t xml:space="preserve">Tư pháp quốc tế gồm các quy phạm pháp luật điều chỉnh các quan hệ dân sự theo nghĩa rộng, bao gồm cả quan hệ hôn nhân và gia đình có yếu tố nước ngoài. Do yếu tố nước ngoài </w:t>
      </w:r>
      <w:r w:rsidR="0018423A">
        <w:rPr>
          <w:sz w:val="27"/>
        </w:rPr>
        <w:t>mà quan hệ dân sự</w:t>
      </w:r>
      <w:r>
        <w:rPr>
          <w:sz w:val="27"/>
        </w:rPr>
        <w:t xml:space="preserve"> có thể chịu sự điều chỉnh của nhiều hệ thống pháp luật khác nhau. Tư pháp quốc tế tập trung giải quyết 3 vấn đề chính: xung đột thẩm quyền (cơ quan của quốc gia nào có thẩm quyền giải quyết vụ việc), xung đột pháp luật (pháp luật nào được áp dụng để giải quyết vụ việc) và công nhận và cho thi hành phán quyết của nước ngoài.</w:t>
      </w:r>
      <w:r w:rsidR="0018423A">
        <w:rPr>
          <w:sz w:val="27"/>
        </w:rPr>
        <w:t xml:space="preserve"> Hiện nay, các quy định về tư pháp quốc tế của Việt Nam chủ yếu tập trung tại Phần thứ năm của Bộ luật dân sự năm 2015 (Pháp luật áp dụng) và phần thứ bảy và thứ tám của Bộ luật tố tụng dân sự năm 2015 (Công nhận và cho thi hành tại Việt N</w:t>
      </w:r>
      <w:r w:rsidR="0018423A" w:rsidRPr="0018423A">
        <w:rPr>
          <w:sz w:val="27"/>
        </w:rPr>
        <w:t>am hoặc không công nhận bản án, quyết định dân sự của tòa án nước ngoài; công nhận và cho thi hành phán quyết của trọng tài nước ngoài</w:t>
      </w:r>
      <w:r w:rsidR="0018423A">
        <w:rPr>
          <w:sz w:val="27"/>
        </w:rPr>
        <w:t xml:space="preserve">; </w:t>
      </w:r>
      <w:r w:rsidR="007008B5">
        <w:rPr>
          <w:sz w:val="27"/>
        </w:rPr>
        <w:t>T</w:t>
      </w:r>
      <w:r w:rsidR="0018423A" w:rsidRPr="0018423A">
        <w:rPr>
          <w:sz w:val="27"/>
        </w:rPr>
        <w:t>hủ tục giải quyết vụ việc dân sự có yếu tố nước ngoài</w:t>
      </w:r>
      <w:r w:rsidR="0018423A">
        <w:rPr>
          <w:sz w:val="27"/>
        </w:rPr>
        <w:t>).</w:t>
      </w:r>
      <w:r w:rsidR="007008B5">
        <w:rPr>
          <w:sz w:val="27"/>
        </w:rPr>
        <w:t xml:space="preserve"> Mặc dù vậy, các luật chuyên ngành trong đó có Luật HNGĐ cũng có các quy định về tư pháp quốc tế điều chỉnh riêng trong từng lĩnh vực.</w:t>
      </w:r>
    </w:p>
    <w:p w:rsidR="007C5EE1" w:rsidRPr="00881AA1" w:rsidRDefault="00FF21D2" w:rsidP="00881AA1">
      <w:pPr>
        <w:pStyle w:val="BodyTextIndent"/>
        <w:spacing w:before="80" w:after="80" w:line="252" w:lineRule="auto"/>
        <w:rPr>
          <w:b/>
          <w:sz w:val="27"/>
        </w:rPr>
      </w:pPr>
      <w:r w:rsidRPr="00C017BC">
        <w:rPr>
          <w:b/>
          <w:sz w:val="27"/>
        </w:rPr>
        <w:t>1</w:t>
      </w:r>
      <w:r w:rsidR="00C017BC" w:rsidRPr="00881AA1">
        <w:rPr>
          <w:b/>
          <w:sz w:val="27"/>
        </w:rPr>
        <w:t>.</w:t>
      </w:r>
      <w:r w:rsidRPr="00881AA1">
        <w:rPr>
          <w:b/>
          <w:sz w:val="27"/>
        </w:rPr>
        <w:t xml:space="preserve"> </w:t>
      </w:r>
      <w:r w:rsidR="007C5EE1" w:rsidRPr="00881AA1">
        <w:rPr>
          <w:b/>
          <w:sz w:val="27"/>
        </w:rPr>
        <w:t>Đánh giá ưu, nhược điểm của Luật HNGĐ và các văn bản hướng dẫn thi hành trong mối tương quan với các đạo luật khác có liên quan</w:t>
      </w:r>
    </w:p>
    <w:p w:rsidR="00F23E6C" w:rsidRDefault="0078594C" w:rsidP="0078594C">
      <w:pPr>
        <w:pStyle w:val="BodyTextIndent"/>
        <w:spacing w:before="80" w:after="80" w:line="252" w:lineRule="auto"/>
        <w:rPr>
          <w:sz w:val="27"/>
        </w:rPr>
      </w:pPr>
      <w:r>
        <w:rPr>
          <w:sz w:val="27"/>
        </w:rPr>
        <w:t xml:space="preserve">Hiện tại các quy định của Luật </w:t>
      </w:r>
      <w:r w:rsidR="00C33259">
        <w:rPr>
          <w:sz w:val="27"/>
        </w:rPr>
        <w:t xml:space="preserve">HNGĐ </w:t>
      </w:r>
      <w:r>
        <w:rPr>
          <w:sz w:val="27"/>
        </w:rPr>
        <w:t xml:space="preserve">và các văn bản quy định chi tiết điều chỉnh các quan hệ </w:t>
      </w:r>
      <w:r w:rsidR="00881AA1">
        <w:rPr>
          <w:sz w:val="27"/>
        </w:rPr>
        <w:t xml:space="preserve">HNGĐ </w:t>
      </w:r>
      <w:r>
        <w:rPr>
          <w:sz w:val="27"/>
        </w:rPr>
        <w:t>có yếu</w:t>
      </w:r>
      <w:r w:rsidR="00123814">
        <w:rPr>
          <w:sz w:val="27"/>
        </w:rPr>
        <w:t xml:space="preserve"> tố nước ngoài </w:t>
      </w:r>
      <w:r w:rsidR="00143F86">
        <w:rPr>
          <w:sz w:val="27"/>
        </w:rPr>
        <w:t xml:space="preserve">đã </w:t>
      </w:r>
      <w:r w:rsidR="00123814">
        <w:rPr>
          <w:sz w:val="27"/>
        </w:rPr>
        <w:t>tương đối đầy đủ</w:t>
      </w:r>
      <w:r w:rsidR="00520EB1">
        <w:rPr>
          <w:sz w:val="27"/>
        </w:rPr>
        <w:t>, kế thừa những điểm còn phù hợp của Luật hôn nhân và gia đình năm 2000</w:t>
      </w:r>
      <w:r w:rsidR="00084CB2">
        <w:rPr>
          <w:sz w:val="27"/>
        </w:rPr>
        <w:t xml:space="preserve">, bổ sung một số quy định mới (cấp dưỡng, xác định quan hệ cha mẹ con, chế độ tài sản của vợ chồng theo thỏa thuận, nam nữ chung sống với nhau như vợ chồng có YTNN), </w:t>
      </w:r>
      <w:r w:rsidR="00F23E6C">
        <w:rPr>
          <w:sz w:val="27"/>
        </w:rPr>
        <w:t xml:space="preserve">điều chỉnh cả 3 vấn đề chính của tư pháp quốc tế, tạo cơ sở pháp </w:t>
      </w:r>
      <w:r w:rsidR="00504BD3">
        <w:rPr>
          <w:sz w:val="27"/>
        </w:rPr>
        <w:t>lý giải quyết các vụ việc</w:t>
      </w:r>
      <w:r w:rsidR="00A914F1">
        <w:rPr>
          <w:sz w:val="27"/>
        </w:rPr>
        <w:t xml:space="preserve"> HNGĐ có YTNN</w:t>
      </w:r>
      <w:r w:rsidR="00F23E6C">
        <w:rPr>
          <w:sz w:val="27"/>
        </w:rPr>
        <w:t>.</w:t>
      </w:r>
      <w:r w:rsidR="00D624F5">
        <w:rPr>
          <w:sz w:val="27"/>
        </w:rPr>
        <w:t xml:space="preserve"> </w:t>
      </w:r>
    </w:p>
    <w:p w:rsidR="00F23E6C" w:rsidRDefault="00F23E6C" w:rsidP="0078594C">
      <w:pPr>
        <w:pStyle w:val="BodyTextIndent"/>
        <w:spacing w:before="80" w:after="80" w:line="252" w:lineRule="auto"/>
        <w:rPr>
          <w:sz w:val="27"/>
        </w:rPr>
      </w:pPr>
    </w:p>
    <w:p w:rsidR="00F23E6C" w:rsidRDefault="00F23E6C" w:rsidP="0078594C">
      <w:pPr>
        <w:pStyle w:val="BodyTextIndent"/>
        <w:spacing w:before="80" w:after="80" w:line="252" w:lineRule="auto"/>
        <w:rPr>
          <w:sz w:val="27"/>
        </w:rPr>
      </w:pPr>
    </w:p>
    <w:p w:rsidR="0078594C" w:rsidRDefault="0078594C" w:rsidP="0078594C">
      <w:pPr>
        <w:pStyle w:val="BodyTextIndent"/>
        <w:spacing w:before="80" w:after="80" w:line="252" w:lineRule="auto"/>
        <w:rPr>
          <w:sz w:val="27"/>
        </w:rPr>
      </w:pPr>
      <w:r>
        <w:rPr>
          <w:sz w:val="27"/>
        </w:rPr>
        <w:t xml:space="preserve">Mặc dù vậy, các quy </w:t>
      </w:r>
      <w:r w:rsidR="00C33259">
        <w:rPr>
          <w:sz w:val="27"/>
        </w:rPr>
        <w:t>định của Luật HNGĐ vẫn còn</w:t>
      </w:r>
      <w:r>
        <w:rPr>
          <w:sz w:val="27"/>
        </w:rPr>
        <w:t xml:space="preserve"> khoảng trống và mâu thuẫn nội tại cũng như </w:t>
      </w:r>
      <w:r w:rsidR="0072366F">
        <w:rPr>
          <w:sz w:val="27"/>
        </w:rPr>
        <w:t xml:space="preserve">chồng chéo </w:t>
      </w:r>
      <w:r>
        <w:rPr>
          <w:sz w:val="27"/>
        </w:rPr>
        <w:t>với các đạo luật khác</w:t>
      </w:r>
      <w:r w:rsidR="00C33259">
        <w:rPr>
          <w:sz w:val="27"/>
        </w:rPr>
        <w:t xml:space="preserve">, </w:t>
      </w:r>
      <w:r w:rsidR="00A914F1">
        <w:rPr>
          <w:sz w:val="27"/>
        </w:rPr>
        <w:t xml:space="preserve">dẫn đến không thống nhất trong áp dụng pháp luật </w:t>
      </w:r>
      <w:r w:rsidR="00C33259">
        <w:rPr>
          <w:sz w:val="27"/>
        </w:rPr>
        <w:t>cụ thể như sau</w:t>
      </w:r>
      <w:r>
        <w:rPr>
          <w:sz w:val="27"/>
        </w:rPr>
        <w:t>:</w:t>
      </w:r>
    </w:p>
    <w:p w:rsidR="005204C9" w:rsidRDefault="00881AA1" w:rsidP="0078594C">
      <w:pPr>
        <w:pStyle w:val="BodyTextIndent"/>
        <w:spacing w:before="80" w:after="80" w:line="252" w:lineRule="auto"/>
        <w:rPr>
          <w:sz w:val="27"/>
        </w:rPr>
      </w:pPr>
      <w:r w:rsidRPr="00E713E2">
        <w:rPr>
          <w:b/>
          <w:i/>
          <w:sz w:val="27"/>
        </w:rPr>
        <w:t>1</w:t>
      </w:r>
      <w:r w:rsidR="005204C9" w:rsidRPr="00E713E2">
        <w:rPr>
          <w:b/>
          <w:i/>
          <w:sz w:val="27"/>
        </w:rPr>
        <w:t>.1</w:t>
      </w:r>
      <w:r w:rsidR="00C33259" w:rsidRPr="00E713E2">
        <w:rPr>
          <w:b/>
          <w:i/>
          <w:sz w:val="27"/>
        </w:rPr>
        <w:t xml:space="preserve"> </w:t>
      </w:r>
      <w:r w:rsidR="0078594C" w:rsidRPr="00E713E2">
        <w:rPr>
          <w:b/>
          <w:i/>
          <w:sz w:val="27"/>
        </w:rPr>
        <w:t>Về thẩm quyền giải quyết các vụ việc về hôn nhân gia đình có yếu tố nước ngoài</w:t>
      </w:r>
      <w:r w:rsidR="0078594C">
        <w:rPr>
          <w:sz w:val="27"/>
        </w:rPr>
        <w:t xml:space="preserve">: </w:t>
      </w:r>
    </w:p>
    <w:p w:rsidR="00D9107F" w:rsidRDefault="007008B5" w:rsidP="00D9107F">
      <w:pPr>
        <w:pStyle w:val="BodyTextIndent"/>
        <w:spacing w:before="80" w:after="80" w:line="252" w:lineRule="auto"/>
        <w:rPr>
          <w:sz w:val="27"/>
        </w:rPr>
      </w:pPr>
      <w:r>
        <w:rPr>
          <w:sz w:val="27"/>
        </w:rPr>
        <w:t xml:space="preserve">Quy định về thẩm quyền giải quyết các vụ việc về </w:t>
      </w:r>
      <w:r w:rsidR="00A914F1">
        <w:rPr>
          <w:sz w:val="27"/>
        </w:rPr>
        <w:t xml:space="preserve">HNGĐ </w:t>
      </w:r>
      <w:r w:rsidR="006B2B42">
        <w:rPr>
          <w:sz w:val="27"/>
        </w:rPr>
        <w:t xml:space="preserve">chủ yếu dẫn chiếu đến các đạo luật khác nhưng </w:t>
      </w:r>
      <w:r w:rsidR="00A914F1">
        <w:rPr>
          <w:sz w:val="27"/>
        </w:rPr>
        <w:t xml:space="preserve">thường </w:t>
      </w:r>
      <w:r w:rsidR="006B2B42">
        <w:rPr>
          <w:sz w:val="27"/>
        </w:rPr>
        <w:t>không đầy đủ hoặc mâu thuẫn  trong cùng một điều luật.</w:t>
      </w:r>
      <w:r w:rsidR="00D9107F">
        <w:rPr>
          <w:sz w:val="27"/>
        </w:rPr>
        <w:t xml:space="preserve"> </w:t>
      </w:r>
    </w:p>
    <w:p w:rsidR="00D16868" w:rsidRPr="00DF1B28" w:rsidRDefault="00D9107F" w:rsidP="00D9107F">
      <w:pPr>
        <w:pStyle w:val="BodyTextIndent"/>
        <w:spacing w:before="80" w:after="80" w:line="252" w:lineRule="auto"/>
        <w:rPr>
          <w:sz w:val="27"/>
        </w:rPr>
      </w:pPr>
      <w:r>
        <w:rPr>
          <w:sz w:val="27"/>
        </w:rPr>
        <w:t xml:space="preserve">Quy định chung về thẩm quyền giải quyết các vụ việc HNGĐ có </w:t>
      </w:r>
      <w:r w:rsidR="00143F86">
        <w:rPr>
          <w:sz w:val="27"/>
        </w:rPr>
        <w:t xml:space="preserve">YTNN </w:t>
      </w:r>
      <w:r>
        <w:rPr>
          <w:sz w:val="27"/>
        </w:rPr>
        <w:t xml:space="preserve">tại Điều 123 Luật HNGĐ, chủ yếu </w:t>
      </w:r>
      <w:r w:rsidR="00D16868" w:rsidRPr="00DF1B28">
        <w:rPr>
          <w:sz w:val="27"/>
        </w:rPr>
        <w:t xml:space="preserve">dẫn chiếu đến các quy định trong những đạo luật khác </w:t>
      </w:r>
      <w:r w:rsidR="00D16868">
        <w:rPr>
          <w:sz w:val="27"/>
        </w:rPr>
        <w:t>Luật Hộ tịch năm 2014 và Bộ luật tố tụng dân sự năm 2015</w:t>
      </w:r>
      <w:r w:rsidR="00A914F1">
        <w:rPr>
          <w:sz w:val="27"/>
        </w:rPr>
        <w:t xml:space="preserve"> (BLTTDS 2015). Điều 123 Luật HNGĐ </w:t>
      </w:r>
      <w:r w:rsidR="00D16868" w:rsidRPr="00DF1B28">
        <w:rPr>
          <w:sz w:val="27"/>
        </w:rPr>
        <w:t>không quy định</w:t>
      </w:r>
      <w:r>
        <w:rPr>
          <w:sz w:val="27"/>
        </w:rPr>
        <w:t xml:space="preserve"> về các trường hợp ngoại lệ tại </w:t>
      </w:r>
      <w:r w:rsidR="00D16868" w:rsidRPr="00DF1B28">
        <w:rPr>
          <w:sz w:val="27"/>
        </w:rPr>
        <w:t xml:space="preserve">khoản 3 Điều này </w:t>
      </w:r>
      <w:r>
        <w:rPr>
          <w:sz w:val="27"/>
        </w:rPr>
        <w:t>và c</w:t>
      </w:r>
      <w:r w:rsidR="00D16868" w:rsidRPr="00DF1B28">
        <w:rPr>
          <w:sz w:val="27"/>
        </w:rPr>
        <w:t>ác điều khoản tiếp theo nh</w:t>
      </w:r>
      <w:r>
        <w:rPr>
          <w:sz w:val="27"/>
        </w:rPr>
        <w:t xml:space="preserve">ư Điều 128 và khoản 2 Điều 129 </w:t>
      </w:r>
      <w:r w:rsidR="00D16868" w:rsidRPr="00DF1B28">
        <w:rPr>
          <w:sz w:val="27"/>
        </w:rPr>
        <w:t>Luật HNGĐ.</w:t>
      </w:r>
      <w:r w:rsidR="00D16868">
        <w:rPr>
          <w:sz w:val="27"/>
        </w:rPr>
        <w:t xml:space="preserve"> </w:t>
      </w:r>
    </w:p>
    <w:p w:rsidR="00D16868" w:rsidRDefault="00D9107F" w:rsidP="0078594C">
      <w:pPr>
        <w:pStyle w:val="BodyTextIndent"/>
        <w:spacing w:before="80" w:after="80" w:line="252" w:lineRule="auto"/>
        <w:rPr>
          <w:sz w:val="27"/>
        </w:rPr>
      </w:pPr>
      <w:r>
        <w:rPr>
          <w:sz w:val="27"/>
        </w:rPr>
        <w:t>Các quy định về thẩm quyền trong một số trường hợp đặc biệt (xác định cha, mẹ con có</w:t>
      </w:r>
      <w:r w:rsidR="00A914F1">
        <w:rPr>
          <w:sz w:val="27"/>
        </w:rPr>
        <w:t xml:space="preserve"> YTNN</w:t>
      </w:r>
      <w:r>
        <w:rPr>
          <w:sz w:val="27"/>
        </w:rPr>
        <w:t>, giải quyết nghĩa vụ cấp dưỡng</w:t>
      </w:r>
      <w:r w:rsidR="00A914F1">
        <w:rPr>
          <w:sz w:val="27"/>
        </w:rPr>
        <w:t xml:space="preserve"> có YTNN</w:t>
      </w:r>
      <w:r>
        <w:rPr>
          <w:sz w:val="27"/>
        </w:rPr>
        <w:t xml:space="preserve">) cũng dẫn chiếu đến các quy định của những đạo luật có liên quan nhưng lại bao gồm cả các quy định cụ thể </w:t>
      </w:r>
      <w:r w:rsidR="00870716">
        <w:rPr>
          <w:sz w:val="27"/>
        </w:rPr>
        <w:t>nên có thể dẫn đến những cách giải thích khác nhau.</w:t>
      </w:r>
    </w:p>
    <w:p w:rsidR="0099659B" w:rsidRPr="00DF1B28" w:rsidRDefault="00870716" w:rsidP="00870716">
      <w:pPr>
        <w:pStyle w:val="BodyTextIndent"/>
        <w:spacing w:before="80" w:after="80" w:line="252" w:lineRule="auto"/>
        <w:rPr>
          <w:sz w:val="27"/>
        </w:rPr>
      </w:pPr>
      <w:r>
        <w:rPr>
          <w:sz w:val="27"/>
        </w:rPr>
        <w:t xml:space="preserve">Ví dụ: </w:t>
      </w:r>
      <w:r w:rsidR="00C33259">
        <w:rPr>
          <w:sz w:val="27"/>
        </w:rPr>
        <w:t xml:space="preserve">Về thẩm quyền của Cơ quan hộ tịch, </w:t>
      </w:r>
      <w:r>
        <w:rPr>
          <w:sz w:val="27"/>
        </w:rPr>
        <w:t xml:space="preserve">Điều 128 </w:t>
      </w:r>
      <w:r w:rsidR="0099659B" w:rsidRPr="00DF1B28">
        <w:rPr>
          <w:sz w:val="27"/>
        </w:rPr>
        <w:t xml:space="preserve">Luật HNGĐ </w:t>
      </w:r>
      <w:r w:rsidR="00C33259">
        <w:rPr>
          <w:sz w:val="27"/>
        </w:rPr>
        <w:t>mặc dù chỉ dẫn đến pháp luật về hộ tịch nhưng</w:t>
      </w:r>
      <w:r w:rsidR="00A914F1">
        <w:rPr>
          <w:sz w:val="27"/>
        </w:rPr>
        <w:t xml:space="preserve"> lại liệt kê cả các trường hợp cụ thể. Khi liệt kê còn</w:t>
      </w:r>
      <w:r w:rsidR="0099659B" w:rsidRPr="00DF1B28">
        <w:rPr>
          <w:sz w:val="27"/>
        </w:rPr>
        <w:t xml:space="preserve"> thiếu trường hợp công dân Việt Nam đồng thời có quốc tịch nước ngoài</w:t>
      </w:r>
      <w:r w:rsidR="00C33259">
        <w:rPr>
          <w:sz w:val="27"/>
        </w:rPr>
        <w:t xml:space="preserve"> đã</w:t>
      </w:r>
      <w:r w:rsidR="0099659B" w:rsidRPr="00DF1B28">
        <w:rPr>
          <w:sz w:val="27"/>
        </w:rPr>
        <w:t xml:space="preserve"> được quy định</w:t>
      </w:r>
      <w:r>
        <w:rPr>
          <w:sz w:val="27"/>
        </w:rPr>
        <w:t xml:space="preserve"> </w:t>
      </w:r>
      <w:r w:rsidR="008C00E8">
        <w:rPr>
          <w:sz w:val="27"/>
        </w:rPr>
        <w:t>tại Điều 43 Luật Hộ tịch năm 2014</w:t>
      </w:r>
      <w:r w:rsidR="0099659B" w:rsidRPr="00DF1B28">
        <w:rPr>
          <w:sz w:val="27"/>
        </w:rPr>
        <w:t xml:space="preserve">. </w:t>
      </w:r>
      <w:r w:rsidR="00595EAF">
        <w:rPr>
          <w:sz w:val="27"/>
        </w:rPr>
        <w:t xml:space="preserve">Về thẩm quyền của Tòa án, </w:t>
      </w:r>
      <w:r w:rsidR="00A914F1">
        <w:rPr>
          <w:sz w:val="27"/>
        </w:rPr>
        <w:t>Luật HNGĐ</w:t>
      </w:r>
      <w:r>
        <w:rPr>
          <w:sz w:val="27"/>
        </w:rPr>
        <w:t xml:space="preserve"> chỉ phân định thẩm quyền giữa tòa án và cơ quan hộ tịch mà không làm rõ thẩm quyền giữa tòa án Việt Nam và tòa án nước ngoài. </w:t>
      </w:r>
    </w:p>
    <w:p w:rsidR="00C22629" w:rsidRPr="00DF1B28" w:rsidRDefault="00870716" w:rsidP="00595EAF">
      <w:pPr>
        <w:pStyle w:val="BodyTextIndent"/>
        <w:spacing w:before="80" w:after="80" w:line="252" w:lineRule="auto"/>
        <w:rPr>
          <w:sz w:val="27"/>
        </w:rPr>
      </w:pPr>
      <w:r>
        <w:rPr>
          <w:sz w:val="27"/>
        </w:rPr>
        <w:t>Bản thân các quy định về thẩm quyền và pháp luật áp dụng cũng mâu thuẫn nhau như k</w:t>
      </w:r>
      <w:r w:rsidR="00C22629" w:rsidRPr="00DF1B28">
        <w:rPr>
          <w:sz w:val="27"/>
        </w:rPr>
        <w:t>hoản 1 và 2 Điều 129 Luật HNGĐ.</w:t>
      </w:r>
      <w:r w:rsidR="00595EAF">
        <w:rPr>
          <w:sz w:val="27"/>
        </w:rPr>
        <w:t xml:space="preserve"> </w:t>
      </w:r>
      <w:r w:rsidR="00C22629" w:rsidRPr="00DF1B28">
        <w:rPr>
          <w:sz w:val="27"/>
        </w:rPr>
        <w:t xml:space="preserve">Khoản 2 xác định thẩm quyền thuộc về cơ quan của nước nơi người yêu cầu cấp dưỡng cư trú, như vậy nếu người yêu cầu không cư trú ở Việt Nam thì cơ quan của Việt Nam không có thẩm quyền giải quyết vụ việc và không có điều kiện để áp dụng khoản 1 trong đó cho phép giải quyết các yêu cầu cấp dưỡng của người không cư trú tại Việt Nam (áp dụng pháp luật mà họ là công dân). </w:t>
      </w:r>
    </w:p>
    <w:p w:rsidR="005204C9" w:rsidRDefault="00881AA1" w:rsidP="00D16868">
      <w:pPr>
        <w:pStyle w:val="BodyTextIndent"/>
        <w:spacing w:before="80" w:after="80" w:line="252" w:lineRule="auto"/>
        <w:rPr>
          <w:sz w:val="27"/>
        </w:rPr>
      </w:pPr>
      <w:r w:rsidRPr="00E713E2">
        <w:rPr>
          <w:b/>
          <w:i/>
          <w:sz w:val="27"/>
        </w:rPr>
        <w:t>1</w:t>
      </w:r>
      <w:r w:rsidR="005204C9" w:rsidRPr="00E713E2">
        <w:rPr>
          <w:b/>
          <w:i/>
          <w:sz w:val="27"/>
        </w:rPr>
        <w:t>.2</w:t>
      </w:r>
      <w:r w:rsidR="0078594C" w:rsidRPr="00E713E2">
        <w:rPr>
          <w:b/>
          <w:i/>
          <w:sz w:val="27"/>
        </w:rPr>
        <w:t xml:space="preserve"> Về pháp luật áp dụng đối với các vụ việc về </w:t>
      </w:r>
      <w:r w:rsidR="00143F86">
        <w:rPr>
          <w:b/>
          <w:i/>
          <w:sz w:val="27"/>
        </w:rPr>
        <w:t>hôn nhân và gia đình</w:t>
      </w:r>
      <w:r w:rsidR="00595EAF" w:rsidRPr="00E713E2">
        <w:rPr>
          <w:b/>
          <w:i/>
          <w:sz w:val="27"/>
        </w:rPr>
        <w:t xml:space="preserve"> </w:t>
      </w:r>
      <w:r w:rsidR="0078594C" w:rsidRPr="00E713E2">
        <w:rPr>
          <w:b/>
          <w:i/>
          <w:sz w:val="27"/>
        </w:rPr>
        <w:t>có yếu tố nước ngoài</w:t>
      </w:r>
      <w:r w:rsidR="0078594C">
        <w:rPr>
          <w:sz w:val="27"/>
        </w:rPr>
        <w:t xml:space="preserve">: </w:t>
      </w:r>
    </w:p>
    <w:p w:rsidR="00EE37BE" w:rsidRDefault="00EE37BE" w:rsidP="005204C9">
      <w:pPr>
        <w:pStyle w:val="BodyTextIndent"/>
        <w:spacing w:before="80" w:after="80" w:line="252" w:lineRule="auto"/>
        <w:rPr>
          <w:sz w:val="27"/>
        </w:rPr>
      </w:pPr>
      <w:r>
        <w:rPr>
          <w:sz w:val="27"/>
        </w:rPr>
        <w:t>Việc xác định hệ thuộc luật áp dụng đến nay chủ yếu dựa vào tham khảo các tài liệu của nước ngoài và các cam kết của Việt Nam trong các Hiệp định tương trợ tư pháp về dân sự có các quy định về tư pháp quốc tế</w:t>
      </w:r>
      <w:r w:rsidR="003F3DC0">
        <w:rPr>
          <w:sz w:val="27"/>
        </w:rPr>
        <w:t xml:space="preserve"> mà chưa có nghiên cứu cập nhật và thấu đáo về nội dung này</w:t>
      </w:r>
      <w:r>
        <w:rPr>
          <w:sz w:val="27"/>
        </w:rPr>
        <w:t>. Theo thống kê của Vụ Pháp luật quốc tế, Bộ Tư pháp, đến nay có 10 Hiệp định tương trợ tư pháp về dân sự mà Việt Nam đã ký với các nước có quy định về pháp luật áp dụng</w:t>
      </w:r>
      <w:r>
        <w:rPr>
          <w:rStyle w:val="FootnoteReference"/>
          <w:sz w:val="27"/>
        </w:rPr>
        <w:footnoteReference w:id="1"/>
      </w:r>
      <w:r w:rsidR="003F3DC0">
        <w:rPr>
          <w:sz w:val="27"/>
        </w:rPr>
        <w:t>, trong đó có nội dung pháp luật áp dụng với các quan hệ HNGĐ có</w:t>
      </w:r>
      <w:r w:rsidR="00A914F1">
        <w:rPr>
          <w:sz w:val="27"/>
        </w:rPr>
        <w:t xml:space="preserve"> YTNN</w:t>
      </w:r>
      <w:r w:rsidR="00BF731A">
        <w:rPr>
          <w:sz w:val="27"/>
        </w:rPr>
        <w:t>.</w:t>
      </w:r>
    </w:p>
    <w:p w:rsidR="00BF731A" w:rsidRDefault="0078594C" w:rsidP="00BF731A">
      <w:pPr>
        <w:pStyle w:val="BodyTextIndent"/>
        <w:spacing w:before="80" w:after="80" w:line="252" w:lineRule="auto"/>
        <w:rPr>
          <w:sz w:val="27"/>
        </w:rPr>
      </w:pPr>
      <w:r>
        <w:rPr>
          <w:sz w:val="27"/>
        </w:rPr>
        <w:t xml:space="preserve">Luật HNGĐ không quy định rõ về hệ thuộc luật áp dụng trong một số quan hệ </w:t>
      </w:r>
      <w:r w:rsidR="00A914F1">
        <w:rPr>
          <w:sz w:val="27"/>
        </w:rPr>
        <w:t xml:space="preserve">có YTNN </w:t>
      </w:r>
      <w:r>
        <w:rPr>
          <w:sz w:val="27"/>
        </w:rPr>
        <w:t>cụ thể: quan hệ nhân thân và tài sản của vợ chồng, quan hệ giữa các thành viên trong gia đình đặc biệt là quan hệ cha mẹ con</w:t>
      </w:r>
      <w:r w:rsidR="00983856">
        <w:rPr>
          <w:sz w:val="27"/>
        </w:rPr>
        <w:t xml:space="preserve">, xác định quan hệ cha mẹ con </w:t>
      </w:r>
      <w:r>
        <w:rPr>
          <w:sz w:val="27"/>
        </w:rPr>
        <w:t>… Trong những trường hợp này, nguyên tắc chung của Luật HNGĐ là áp dụng pháp luật Việt Nam</w:t>
      </w:r>
      <w:r w:rsidR="00EE72D7">
        <w:rPr>
          <w:sz w:val="27"/>
        </w:rPr>
        <w:t xml:space="preserve"> (không theo nguyên tắc áp dụng pháp luật của nước nơi có mối liên hệ gắn bó nhất với quan hệ đó như quy định của </w:t>
      </w:r>
      <w:r w:rsidR="00595EAF">
        <w:rPr>
          <w:sz w:val="27"/>
        </w:rPr>
        <w:t xml:space="preserve">BLDS </w:t>
      </w:r>
      <w:r w:rsidR="00123814">
        <w:rPr>
          <w:sz w:val="27"/>
        </w:rPr>
        <w:t>2015</w:t>
      </w:r>
      <w:r w:rsidR="00EE72D7">
        <w:rPr>
          <w:sz w:val="27"/>
        </w:rPr>
        <w:t>)</w:t>
      </w:r>
      <w:r>
        <w:rPr>
          <w:sz w:val="27"/>
        </w:rPr>
        <w:t xml:space="preserve">. </w:t>
      </w:r>
      <w:r w:rsidR="00D16868">
        <w:rPr>
          <w:sz w:val="27"/>
        </w:rPr>
        <w:t xml:space="preserve">Điều 122 </w:t>
      </w:r>
      <w:r>
        <w:rPr>
          <w:sz w:val="27"/>
        </w:rPr>
        <w:t xml:space="preserve">Luật </w:t>
      </w:r>
      <w:r w:rsidR="00D16868">
        <w:rPr>
          <w:sz w:val="27"/>
        </w:rPr>
        <w:t xml:space="preserve">HNGĐ </w:t>
      </w:r>
      <w:r>
        <w:rPr>
          <w:sz w:val="27"/>
        </w:rPr>
        <w:t xml:space="preserve">cũng quy định </w:t>
      </w:r>
      <w:r w:rsidR="00BF731A">
        <w:rPr>
          <w:sz w:val="27"/>
        </w:rPr>
        <w:t xml:space="preserve">trùng lặp </w:t>
      </w:r>
      <w:r>
        <w:rPr>
          <w:sz w:val="27"/>
        </w:rPr>
        <w:t>một số vấn đề về áp dụng pháp luật nước ngoài, tập quán quốc tế, dẫn chiếu… là những vấn đề có tính nguy</w:t>
      </w:r>
      <w:r w:rsidR="00143F86">
        <w:rPr>
          <w:sz w:val="27"/>
        </w:rPr>
        <w:t>ên tắc đã được quy định trong BLDS 2015</w:t>
      </w:r>
      <w:r w:rsidR="0072366F">
        <w:rPr>
          <w:sz w:val="27"/>
        </w:rPr>
        <w:t>.</w:t>
      </w:r>
      <w:r w:rsidR="00870716">
        <w:rPr>
          <w:sz w:val="27"/>
        </w:rPr>
        <w:t xml:space="preserve"> </w:t>
      </w:r>
    </w:p>
    <w:p w:rsidR="00DF1B28" w:rsidRDefault="00BF731A" w:rsidP="005E1D5B">
      <w:pPr>
        <w:pStyle w:val="BodyTextIndent"/>
        <w:spacing w:before="80" w:after="80" w:line="252" w:lineRule="auto"/>
        <w:rPr>
          <w:sz w:val="27"/>
        </w:rPr>
      </w:pPr>
      <w:r>
        <w:rPr>
          <w:sz w:val="27"/>
        </w:rPr>
        <w:t>C</w:t>
      </w:r>
      <w:r w:rsidRPr="00DF1B28">
        <w:rPr>
          <w:sz w:val="27"/>
        </w:rPr>
        <w:t>ác tiêu chí được sử dụng để xác định thẩm quyền và pháp luật áp dụng</w:t>
      </w:r>
      <w:r>
        <w:rPr>
          <w:sz w:val="27"/>
        </w:rPr>
        <w:t xml:space="preserve"> dựa trên yếu tố cư trú còn chưa thống nhất</w:t>
      </w:r>
      <w:r w:rsidRPr="00DF1B28">
        <w:rPr>
          <w:sz w:val="27"/>
        </w:rPr>
        <w:t xml:space="preserve"> </w:t>
      </w:r>
      <w:r>
        <w:rPr>
          <w:sz w:val="27"/>
        </w:rPr>
        <w:t>(</w:t>
      </w:r>
      <w:r w:rsidRPr="00DF1B28">
        <w:rPr>
          <w:sz w:val="27"/>
        </w:rPr>
        <w:t>“định</w:t>
      </w:r>
      <w:r>
        <w:rPr>
          <w:sz w:val="27"/>
        </w:rPr>
        <w:t xml:space="preserve"> cư”, “cư trú” hay “thường trú”). Yếu tố này còn ảnh hưởng đến </w:t>
      </w:r>
      <w:r w:rsidR="00337766">
        <w:rPr>
          <w:sz w:val="27"/>
        </w:rPr>
        <w:t>định nghĩa quan hệ HNGĐ có YTNN</w:t>
      </w:r>
      <w:r>
        <w:rPr>
          <w:sz w:val="27"/>
        </w:rPr>
        <w:t xml:space="preserve">. </w:t>
      </w:r>
      <w:r w:rsidR="005E1D5B">
        <w:rPr>
          <w:sz w:val="27"/>
        </w:rPr>
        <w:t>Y</w:t>
      </w:r>
      <w:r w:rsidRPr="00DF1B28">
        <w:rPr>
          <w:sz w:val="27"/>
        </w:rPr>
        <w:t>ếu tố cư trú (hoặc thường trú) tại nước ngoài có thể ảnh hưởng đến thẩm quyền giải quyết và pháp luật áp dụng đối với các quan hệ</w:t>
      </w:r>
      <w:r w:rsidR="00A914F1">
        <w:rPr>
          <w:sz w:val="27"/>
        </w:rPr>
        <w:t xml:space="preserve"> HNGĐ</w:t>
      </w:r>
      <w:r w:rsidRPr="00DF1B28">
        <w:rPr>
          <w:sz w:val="27"/>
        </w:rPr>
        <w:t>, đặc biệt là trong bối cảnh một số quốc gia (tương tự như Việt Nam) cho phép những người nước ngoài kết hôn với nhau trước cơ quan có thẩm quyền của họ.</w:t>
      </w:r>
      <w:r w:rsidR="005E1D5B">
        <w:rPr>
          <w:sz w:val="27"/>
        </w:rPr>
        <w:t xml:space="preserve"> </w:t>
      </w:r>
      <w:r w:rsidR="00DF1B28" w:rsidRPr="00DF1B28">
        <w:rPr>
          <w:sz w:val="27"/>
        </w:rPr>
        <w:t xml:space="preserve">Vì vậy, </w:t>
      </w:r>
      <w:r w:rsidR="005E1D5B">
        <w:rPr>
          <w:sz w:val="27"/>
        </w:rPr>
        <w:t xml:space="preserve">mặc dù </w:t>
      </w:r>
      <w:r w:rsidR="00DF1B28" w:rsidRPr="00DF1B28">
        <w:rPr>
          <w:sz w:val="27"/>
        </w:rPr>
        <w:t xml:space="preserve">người Việt Nam định cư ở nước ngoài không còn là một nhóm chủ thể riêng biệt trong định nghĩa về quan hệ dân sự có </w:t>
      </w:r>
      <w:r w:rsidR="00A914F1">
        <w:rPr>
          <w:sz w:val="27"/>
        </w:rPr>
        <w:t xml:space="preserve">YTNN </w:t>
      </w:r>
      <w:r w:rsidR="005E1D5B">
        <w:rPr>
          <w:sz w:val="27"/>
        </w:rPr>
        <w:t>theo BLDS 2015 nhưng yếu tố cư trú ở nước ngoài cũng cần được cân nhắc khi định nghĩa quan hệ HNGĐ có YTNN.</w:t>
      </w:r>
    </w:p>
    <w:p w:rsidR="005204C9" w:rsidRDefault="00A914F1" w:rsidP="005E1D5B">
      <w:pPr>
        <w:pStyle w:val="BodyTextIndent"/>
        <w:spacing w:before="80" w:after="80" w:line="252" w:lineRule="auto"/>
        <w:rPr>
          <w:sz w:val="27"/>
        </w:rPr>
      </w:pPr>
      <w:r>
        <w:rPr>
          <w:sz w:val="27"/>
        </w:rPr>
        <w:t>Kể cả trường hợp Luật HNGĐ đã xác định hệ thuộc áp dụng cho một quan hệ cụ thể thì vẫn còn những khiếm khuyết cần hoàn thiện</w:t>
      </w:r>
      <w:r w:rsidR="005E1D5B">
        <w:rPr>
          <w:sz w:val="27"/>
        </w:rPr>
        <w:t xml:space="preserve">. Ví dụ như: Quy định </w:t>
      </w:r>
      <w:r w:rsidR="00282889">
        <w:rPr>
          <w:sz w:val="27"/>
        </w:rPr>
        <w:t xml:space="preserve">pháp luật áp dụng đối với </w:t>
      </w:r>
      <w:r w:rsidR="00337766">
        <w:rPr>
          <w:sz w:val="27"/>
        </w:rPr>
        <w:t>k</w:t>
      </w:r>
      <w:r w:rsidR="005204C9">
        <w:rPr>
          <w:sz w:val="27"/>
        </w:rPr>
        <w:t xml:space="preserve">ết hôn có </w:t>
      </w:r>
      <w:r w:rsidR="00143F86">
        <w:rPr>
          <w:sz w:val="27"/>
        </w:rPr>
        <w:t>YTNN</w:t>
      </w:r>
    </w:p>
    <w:p w:rsidR="005204C9" w:rsidRPr="00DF1B28" w:rsidRDefault="0001111E" w:rsidP="00282889">
      <w:pPr>
        <w:pStyle w:val="BodyTextIndent"/>
        <w:spacing w:before="80" w:after="80" w:line="252" w:lineRule="auto"/>
        <w:rPr>
          <w:sz w:val="27"/>
        </w:rPr>
      </w:pPr>
      <w:r>
        <w:rPr>
          <w:sz w:val="27"/>
        </w:rPr>
        <w:t>(</w:t>
      </w:r>
      <w:r w:rsidR="00282889">
        <w:rPr>
          <w:sz w:val="27"/>
        </w:rPr>
        <w:t>i</w:t>
      </w:r>
      <w:r>
        <w:rPr>
          <w:sz w:val="27"/>
        </w:rPr>
        <w:t>)</w:t>
      </w:r>
      <w:r w:rsidR="00282889">
        <w:rPr>
          <w:sz w:val="27"/>
        </w:rPr>
        <w:t xml:space="preserve">. </w:t>
      </w:r>
      <w:r w:rsidR="005204C9" w:rsidRPr="00DF1B28">
        <w:rPr>
          <w:sz w:val="27"/>
        </w:rPr>
        <w:t>khoản 2 Điều 126 Luật HNGĐ không áp dụng nguyên tắc chung tại khoản 1</w:t>
      </w:r>
      <w:r w:rsidR="005E1D5B">
        <w:rPr>
          <w:sz w:val="27"/>
        </w:rPr>
        <w:t xml:space="preserve"> (mỗi bên kết hôn tuân theo pháp luật của nước mình)</w:t>
      </w:r>
      <w:r w:rsidR="005204C9" w:rsidRPr="00DF1B28">
        <w:rPr>
          <w:sz w:val="27"/>
        </w:rPr>
        <w:t xml:space="preserve"> mà chỉ buộc các bên tuân theo q</w:t>
      </w:r>
      <w:r w:rsidR="005E1D5B">
        <w:rPr>
          <w:sz w:val="27"/>
        </w:rPr>
        <w:t xml:space="preserve">uy định của pháp luật Việt Nam, </w:t>
      </w:r>
      <w:r w:rsidR="005204C9" w:rsidRPr="00DF1B28">
        <w:rPr>
          <w:sz w:val="27"/>
        </w:rPr>
        <w:t xml:space="preserve">khiến cho hôn nhân của những người nước ngoài này </w:t>
      </w:r>
      <w:r w:rsidR="005E1D5B">
        <w:rPr>
          <w:sz w:val="27"/>
        </w:rPr>
        <w:t xml:space="preserve">có nguy cơ </w:t>
      </w:r>
      <w:r w:rsidR="005204C9" w:rsidRPr="00DF1B28">
        <w:rPr>
          <w:sz w:val="27"/>
        </w:rPr>
        <w:t>không được công nhận tại quốc gia mà họ là công dân</w:t>
      </w:r>
      <w:r w:rsidR="00282889">
        <w:rPr>
          <w:sz w:val="27"/>
        </w:rPr>
        <w:t>, tạo kẽ hở lẩn tránh các quy định pháp luật về kết hôn ở</w:t>
      </w:r>
      <w:r w:rsidR="005E1D5B">
        <w:rPr>
          <w:sz w:val="27"/>
        </w:rPr>
        <w:t xml:space="preserve"> nước ngoài đó</w:t>
      </w:r>
      <w:r w:rsidR="005204C9" w:rsidRPr="00DF1B28">
        <w:rPr>
          <w:sz w:val="27"/>
        </w:rPr>
        <w:t>.</w:t>
      </w:r>
    </w:p>
    <w:p w:rsidR="005204C9" w:rsidRPr="00DF1B28" w:rsidRDefault="0001111E" w:rsidP="005204C9">
      <w:pPr>
        <w:pStyle w:val="BodyTextIndent"/>
        <w:spacing w:before="80" w:after="80" w:line="252" w:lineRule="auto"/>
        <w:rPr>
          <w:sz w:val="27"/>
        </w:rPr>
      </w:pPr>
      <w:r>
        <w:rPr>
          <w:sz w:val="27"/>
        </w:rPr>
        <w:t>(</w:t>
      </w:r>
      <w:r w:rsidR="005204C9">
        <w:rPr>
          <w:sz w:val="27"/>
        </w:rPr>
        <w:t>ii</w:t>
      </w:r>
      <w:r>
        <w:rPr>
          <w:sz w:val="27"/>
        </w:rPr>
        <w:t>)</w:t>
      </w:r>
      <w:r w:rsidR="005204C9" w:rsidRPr="00DF1B28">
        <w:rPr>
          <w:sz w:val="27"/>
        </w:rPr>
        <w:t>.Quy định tại khoản 2 Điều 126 và quy định tại khoản 2 Điều 37 Luật Hộ tịch chưa thống nhất về tiêu chí. Mặc dù hai quy định này nhằm đến hai vấn đề khác nhau (Điều 126 là pháp luật áp dụng và Điều 37 về thẩm quyền</w:t>
      </w:r>
      <w:r w:rsidR="00282889">
        <w:rPr>
          <w:sz w:val="27"/>
        </w:rPr>
        <w:t xml:space="preserve"> đối với việc kết hôn có</w:t>
      </w:r>
      <w:r>
        <w:rPr>
          <w:sz w:val="27"/>
        </w:rPr>
        <w:t xml:space="preserve"> YTNN</w:t>
      </w:r>
      <w:r w:rsidR="005204C9" w:rsidRPr="00DF1B28">
        <w:rPr>
          <w:sz w:val="27"/>
        </w:rPr>
        <w:t>). Tuy nhiên, do có sự khác biệt về tiêu chí cư trú nên trường hợp người nước ngoài chỉ tạm trú tại Việt Nam được đăng ký kết hôn theo quy định của Luật Hộ tịch nhưng không có quy định về pháp luật áp dụng.</w:t>
      </w:r>
    </w:p>
    <w:p w:rsidR="005204C9" w:rsidRPr="00DF1B28" w:rsidRDefault="0001111E" w:rsidP="005E1D5B">
      <w:pPr>
        <w:pStyle w:val="BodyTextIndent"/>
        <w:spacing w:before="80" w:after="80" w:line="252" w:lineRule="auto"/>
        <w:rPr>
          <w:sz w:val="27"/>
        </w:rPr>
      </w:pPr>
      <w:r>
        <w:rPr>
          <w:sz w:val="27"/>
        </w:rPr>
        <w:t>(</w:t>
      </w:r>
      <w:r w:rsidR="005204C9">
        <w:rPr>
          <w:sz w:val="27"/>
        </w:rPr>
        <w:t>iii</w:t>
      </w:r>
      <w:r>
        <w:rPr>
          <w:sz w:val="27"/>
        </w:rPr>
        <w:t>)</w:t>
      </w:r>
      <w:r w:rsidR="005204C9" w:rsidRPr="00DF1B28">
        <w:rPr>
          <w:sz w:val="27"/>
        </w:rPr>
        <w:t>. Đối với các văn bản quy định chi tiết, mặc dù có quy định về việc áp dụng pháp luật của nước mà mỗi bên kết hôn có quốc tịch, các quy định về thủ tục kết hôn có yếu tố nước ngoài (Điều 38 Luật Hộ tịch và Điều 30 Nghị định 123/2015/NĐ-CP ngày 15/11/2015 quy định chi tiết một số điều và biện pháp thi hành Luật hộ tịch) chỉ đòi hỏi bên nước ngoài nộp giấy chứng minh tình trạng hôn nhân hoặc giấy tờ xác nhận đủ điều kiện kết hôn theo pháp luật nước ngoài (trong trường hợp không có giấy chứng minh tình trạng hôn nhân) mà không xem xét nội dung quy định của pháp luật nước ngoài về các điều kiện kết hôn.</w:t>
      </w:r>
      <w:r w:rsidR="005E1D5B">
        <w:rPr>
          <w:sz w:val="27"/>
        </w:rPr>
        <w:t xml:space="preserve"> </w:t>
      </w:r>
      <w:r w:rsidR="00881AA1">
        <w:rPr>
          <w:sz w:val="27"/>
        </w:rPr>
        <w:t xml:space="preserve">Tại nhiều </w:t>
      </w:r>
      <w:r w:rsidR="005204C9" w:rsidRPr="00DF1B28">
        <w:rPr>
          <w:sz w:val="27"/>
        </w:rPr>
        <w:t xml:space="preserve">quốc gia việc kết hôn trong một số trường hợp </w:t>
      </w:r>
      <w:r w:rsidR="00881AA1">
        <w:rPr>
          <w:sz w:val="27"/>
        </w:rPr>
        <w:t xml:space="preserve">đặc biệt </w:t>
      </w:r>
      <w:r w:rsidR="005204C9" w:rsidRPr="00DF1B28">
        <w:rPr>
          <w:sz w:val="27"/>
        </w:rPr>
        <w:t xml:space="preserve">phải kèm theo các điều kiện khác thì giấy tờ chứng minh sự phù hợp với các điều kiện này chưa có trong thành phần hồ sơ </w:t>
      </w:r>
      <w:r w:rsidR="00881AA1">
        <w:rPr>
          <w:sz w:val="27"/>
        </w:rPr>
        <w:t xml:space="preserve"> đăng ký kết hôn nêu trên </w:t>
      </w:r>
      <w:r w:rsidR="005204C9" w:rsidRPr="00DF1B28">
        <w:rPr>
          <w:sz w:val="27"/>
        </w:rPr>
        <w:t>(ví dụ  tại Hàn Quốc, theo Điều 801 BLDS của nước này, những người ở độ tuổi vị thành niên 18 đến 20 tuổi có thể kết hôn khi có sự đồng ý của cha mẹ hoặc người giám hộ, khi đạt tuổi thành niên là tròn 20 tuổi họ có thể kết hôn mà không cần sự đồng ý này. Như vậy nếu một người nam quốc tịch Việt Nam</w:t>
      </w:r>
      <w:r w:rsidR="005204C9">
        <w:rPr>
          <w:sz w:val="27"/>
        </w:rPr>
        <w:t xml:space="preserve"> đủ tuổi kết hôn</w:t>
      </w:r>
      <w:r w:rsidR="005204C9" w:rsidRPr="00DF1B28">
        <w:rPr>
          <w:sz w:val="27"/>
        </w:rPr>
        <w:t xml:space="preserve"> lấy người nữ Hàn Quốc ở độ tuổi 19 - phù hợp với tuổi kết hôn ở Việt Nam thì trừ khi cơ quan có thẩm quyền của Hàn Quốc cấp giấy xác nhận cô dâu đáp ứng toà</w:t>
      </w:r>
      <w:r w:rsidR="005204C9">
        <w:rPr>
          <w:sz w:val="27"/>
        </w:rPr>
        <w:t xml:space="preserve">n bộ các điều kiện để kết hôn, </w:t>
      </w:r>
      <w:r w:rsidR="005204C9" w:rsidRPr="00DF1B28">
        <w:rPr>
          <w:sz w:val="27"/>
        </w:rPr>
        <w:t>cô dâu Hàn Quốc phải có giấy tờ chứng minh tình trạng hôn nhân tại Hàn Quốc và giấy tờ chứng minh sự đồng ý của cha mẹ).</w:t>
      </w:r>
    </w:p>
    <w:p w:rsidR="005204C9" w:rsidRPr="00DF1B28" w:rsidRDefault="0001111E" w:rsidP="005E1D5B">
      <w:pPr>
        <w:pStyle w:val="BodyTextIndent"/>
        <w:spacing w:before="80" w:after="80" w:line="252" w:lineRule="auto"/>
        <w:rPr>
          <w:sz w:val="27"/>
        </w:rPr>
      </w:pPr>
      <w:r>
        <w:rPr>
          <w:sz w:val="27"/>
        </w:rPr>
        <w:t>(</w:t>
      </w:r>
      <w:r w:rsidR="005204C9">
        <w:rPr>
          <w:sz w:val="27"/>
        </w:rPr>
        <w:t>iv</w:t>
      </w:r>
      <w:r>
        <w:rPr>
          <w:sz w:val="27"/>
        </w:rPr>
        <w:t>)</w:t>
      </w:r>
      <w:r w:rsidR="005204C9" w:rsidRPr="00DF1B28">
        <w:rPr>
          <w:sz w:val="27"/>
        </w:rPr>
        <w:t>. Các quy định hiện hành (Điều 38 Luật Hộ tịch và Điều 30- 32 Nghị định số 123/</w:t>
      </w:r>
      <w:r w:rsidR="00282889">
        <w:rPr>
          <w:sz w:val="27"/>
        </w:rPr>
        <w:t>2015/</w:t>
      </w:r>
      <w:r w:rsidR="005204C9" w:rsidRPr="00DF1B28">
        <w:rPr>
          <w:sz w:val="27"/>
        </w:rPr>
        <w:t>NĐ-CP) không yêu cầu việc nộp hồ sơ phải có mặt cả hai bên nam nữ. Tuy nhiên, Điều 3 Luật Hộ tịch quy định người yêu cầu đăng ký kết hôn trực tiếp nộp hồ sơ tại cơ quan hộ tịch. Như vậy, cần quy định rõ một trong hai bên có thể nộp hồ sơ đăng ký kết hôn hay không.</w:t>
      </w:r>
      <w:r w:rsidR="005E1D5B">
        <w:rPr>
          <w:sz w:val="27"/>
        </w:rPr>
        <w:t xml:space="preserve"> </w:t>
      </w:r>
      <w:r w:rsidR="005204C9" w:rsidRPr="00DF1B28">
        <w:rPr>
          <w:sz w:val="27"/>
        </w:rPr>
        <w:t xml:space="preserve">Trường hợp kết hôn với người nước ngoài, bên kết hôn nước ngoài đang cư trú ở nước ngoài thường gặp trở ngại trong việc sắp xếp tới Việt Nam 2 lần vào cả thời điểm nộp hồ sơ và thời điểm đăng ký kết hôn.  Sự có mặt của bên nước ngoài trong giai đoạn </w:t>
      </w:r>
      <w:r w:rsidR="00881AA1">
        <w:rPr>
          <w:sz w:val="27"/>
        </w:rPr>
        <w:t xml:space="preserve">nộp đơn </w:t>
      </w:r>
      <w:r w:rsidR="005204C9" w:rsidRPr="00DF1B28">
        <w:rPr>
          <w:sz w:val="27"/>
        </w:rPr>
        <w:t>không có nhiều ý nghĩa khi pháp luật không bắt buộc phỏng vấn các bên kết hôn như trước đây (chưa có quy định về các trường hợp cần phỏng vấn).</w:t>
      </w:r>
    </w:p>
    <w:p w:rsidR="0099659B" w:rsidRPr="00DF1B28" w:rsidRDefault="005E1D5B" w:rsidP="00983856">
      <w:pPr>
        <w:pStyle w:val="BodyTextIndent"/>
        <w:spacing w:before="80" w:after="80" w:line="252" w:lineRule="auto"/>
        <w:rPr>
          <w:sz w:val="27"/>
        </w:rPr>
      </w:pPr>
      <w:r>
        <w:rPr>
          <w:sz w:val="27"/>
        </w:rPr>
        <w:t>Một</w:t>
      </w:r>
      <w:r w:rsidR="00983856">
        <w:rPr>
          <w:sz w:val="27"/>
        </w:rPr>
        <w:t xml:space="preserve"> số quy định chưa rõ ràn</w:t>
      </w:r>
      <w:r w:rsidR="00334798">
        <w:rPr>
          <w:sz w:val="27"/>
        </w:rPr>
        <w:t>g, có thể dẫn đến nhầm lẫn giữa</w:t>
      </w:r>
      <w:r w:rsidR="00983856">
        <w:rPr>
          <w:sz w:val="27"/>
        </w:rPr>
        <w:t xml:space="preserve"> xung đột pháp luật và xung đột thẩm quyền  như quy định tại Điều 127 Luật HNGĐ về </w:t>
      </w:r>
      <w:r w:rsidR="00154D53">
        <w:rPr>
          <w:sz w:val="27"/>
        </w:rPr>
        <w:t>pháp luật áp dụng với l</w:t>
      </w:r>
      <w:r w:rsidR="00334798">
        <w:rPr>
          <w:sz w:val="27"/>
        </w:rPr>
        <w:t>y hôn có</w:t>
      </w:r>
      <w:r w:rsidR="0001111E">
        <w:rPr>
          <w:sz w:val="27"/>
        </w:rPr>
        <w:t xml:space="preserve"> YTNN</w:t>
      </w:r>
      <w:r w:rsidR="00334798">
        <w:rPr>
          <w:sz w:val="27"/>
        </w:rPr>
        <w:t>: đ</w:t>
      </w:r>
      <w:r w:rsidR="00154D53">
        <w:rPr>
          <w:sz w:val="27"/>
        </w:rPr>
        <w:t>iều kiện “thường trú” quy định tại</w:t>
      </w:r>
      <w:r w:rsidR="0099659B" w:rsidRPr="00DF1B28">
        <w:rPr>
          <w:sz w:val="27"/>
        </w:rPr>
        <w:t xml:space="preserve"> khoản 1 Điều 127 Luật HNGĐ </w:t>
      </w:r>
      <w:r w:rsidR="00334798">
        <w:rPr>
          <w:sz w:val="27"/>
        </w:rPr>
        <w:t xml:space="preserve">chưa rõ </w:t>
      </w:r>
      <w:r w:rsidR="0099659B" w:rsidRPr="00DF1B28">
        <w:rPr>
          <w:sz w:val="27"/>
        </w:rPr>
        <w:t>sẽ áp dụng đối với hôn nhân giữa người nước ngoài với nhau hay giữa cả công d</w:t>
      </w:r>
      <w:r w:rsidR="0099659B">
        <w:rPr>
          <w:sz w:val="27"/>
        </w:rPr>
        <w:t>ân Việt N</w:t>
      </w:r>
      <w:r w:rsidR="0001111E">
        <w:rPr>
          <w:sz w:val="27"/>
        </w:rPr>
        <w:t>am và người nước ngoài. T</w:t>
      </w:r>
      <w:r w:rsidR="0099659B" w:rsidRPr="00DF1B28">
        <w:rPr>
          <w:sz w:val="27"/>
        </w:rPr>
        <w:t>rường hợp này pháp luật Việt Nam được áp dụng với tư cách là pháp luật nơi có tòa án (và / hoặc nơi thường trú nếu yếu tố thường trú áp dụng chung). Tuy nhiên nếu hiểu rằng yếu tố nơi thường trú áp dụng cho cả hai trường hợp thì sẽ thiếu quy định áp dụng cho trường hợp kết hôn giữa công dân Việt Nam thường trú ở Việt Nam còn công dân nước ngoài thường t</w:t>
      </w:r>
      <w:r w:rsidR="0001111E">
        <w:rPr>
          <w:sz w:val="27"/>
        </w:rPr>
        <w:t xml:space="preserve">rú tại nước ngoài.  Khoản 2 </w:t>
      </w:r>
      <w:r w:rsidR="0099659B" w:rsidRPr="00DF1B28">
        <w:rPr>
          <w:sz w:val="27"/>
        </w:rPr>
        <w:t>đưa ra trường hợp ngoại lệ trong việc áp dụng pháp luật Việt Nam quy định tại khoản 1, cho phép áp dụng pháp luật nơi thường trú chung khi công dân Việt Nam không thường trú tại Việt Nam.</w:t>
      </w:r>
    </w:p>
    <w:p w:rsidR="00C22629" w:rsidRPr="00DF1B28" w:rsidRDefault="00334798" w:rsidP="00334798">
      <w:pPr>
        <w:pStyle w:val="BodyTextIndent"/>
        <w:spacing w:before="80" w:after="80" w:line="252" w:lineRule="auto"/>
        <w:rPr>
          <w:sz w:val="27"/>
        </w:rPr>
      </w:pPr>
      <w:r>
        <w:rPr>
          <w:sz w:val="27"/>
        </w:rPr>
        <w:t xml:space="preserve">Một số trường hợp </w:t>
      </w:r>
      <w:r w:rsidR="00520EB1">
        <w:rPr>
          <w:sz w:val="27"/>
        </w:rPr>
        <w:t xml:space="preserve">khác </w:t>
      </w:r>
      <w:r>
        <w:rPr>
          <w:sz w:val="27"/>
        </w:rPr>
        <w:t xml:space="preserve">có thể hiểu pháp luật áp dụng là pháp luật Việt Nam nhưng bản thân pháp luật Việt Nam lại chưa có quy định cụ thể về quyền và nghĩa vụ của các bên liên quan, như </w:t>
      </w:r>
      <w:r w:rsidR="00C22629" w:rsidRPr="00DF1B28">
        <w:rPr>
          <w:sz w:val="27"/>
        </w:rPr>
        <w:t>trường hợp</w:t>
      </w:r>
      <w:r>
        <w:rPr>
          <w:sz w:val="27"/>
        </w:rPr>
        <w:t xml:space="preserve"> tại Điều 130 Luật HNGĐ</w:t>
      </w:r>
      <w:r w:rsidR="00520EB1">
        <w:rPr>
          <w:sz w:val="27"/>
        </w:rPr>
        <w:t xml:space="preserve"> (</w:t>
      </w:r>
      <w:r w:rsidR="00520EB1" w:rsidRPr="00520EB1">
        <w:rPr>
          <w:sz w:val="27"/>
        </w:rPr>
        <w:t>chế độ tài sản của vợ chồng theo thỏa thuận; giải quyết hậu quả của việc nam, nữ chung sống với nhau như vợ chồng mà không đăng ký kết hôn có</w:t>
      </w:r>
      <w:r w:rsidR="0001111E">
        <w:rPr>
          <w:sz w:val="27"/>
        </w:rPr>
        <w:t xml:space="preserve"> YTNN</w:t>
      </w:r>
      <w:r w:rsidR="00520EB1">
        <w:rPr>
          <w:sz w:val="27"/>
        </w:rPr>
        <w:t>)</w:t>
      </w:r>
      <w:r w:rsidR="00C22629" w:rsidRPr="00DF1B28">
        <w:rPr>
          <w:sz w:val="27"/>
        </w:rPr>
        <w:t>.</w:t>
      </w:r>
    </w:p>
    <w:p w:rsidR="005204C9" w:rsidRDefault="00E713E2" w:rsidP="0072366F">
      <w:pPr>
        <w:pStyle w:val="BodyTextIndent"/>
        <w:spacing w:before="80" w:after="80" w:line="252" w:lineRule="auto"/>
        <w:rPr>
          <w:sz w:val="27"/>
        </w:rPr>
      </w:pPr>
      <w:r w:rsidRPr="00E713E2">
        <w:rPr>
          <w:b/>
          <w:i/>
          <w:sz w:val="27"/>
        </w:rPr>
        <w:t>1</w:t>
      </w:r>
      <w:r w:rsidR="005204C9" w:rsidRPr="00E713E2">
        <w:rPr>
          <w:b/>
          <w:i/>
          <w:sz w:val="27"/>
        </w:rPr>
        <w:t>.3</w:t>
      </w:r>
      <w:r w:rsidR="0072366F" w:rsidRPr="00E713E2">
        <w:rPr>
          <w:b/>
          <w:i/>
          <w:sz w:val="27"/>
        </w:rPr>
        <w:t xml:space="preserve"> Về công nhận và cho thi hành các bản án, quyết định của nước ngoài về hôn nhân và gia đình</w:t>
      </w:r>
      <w:r w:rsidR="0072366F">
        <w:rPr>
          <w:sz w:val="27"/>
        </w:rPr>
        <w:t xml:space="preserve">: </w:t>
      </w:r>
    </w:p>
    <w:p w:rsidR="00D16868" w:rsidRPr="00DF1B28" w:rsidRDefault="0072366F" w:rsidP="00857BDD">
      <w:pPr>
        <w:pStyle w:val="BodyTextIndent"/>
        <w:spacing w:before="80" w:after="80" w:line="252" w:lineRule="auto"/>
        <w:rPr>
          <w:sz w:val="27"/>
        </w:rPr>
      </w:pPr>
      <w:r>
        <w:rPr>
          <w:sz w:val="27"/>
        </w:rPr>
        <w:t>Luật HNGĐ sử dụng các tiêu chí mâu thuẫn với BLTTDS 2015.</w:t>
      </w:r>
      <w:r w:rsidR="00857BDD">
        <w:rPr>
          <w:sz w:val="27"/>
        </w:rPr>
        <w:t xml:space="preserve"> </w:t>
      </w:r>
      <w:r w:rsidR="00D16868" w:rsidRPr="00DF1B28">
        <w:rPr>
          <w:sz w:val="27"/>
        </w:rPr>
        <w:t xml:space="preserve">BLTTDS </w:t>
      </w:r>
      <w:r w:rsidR="000B094B">
        <w:rPr>
          <w:sz w:val="27"/>
        </w:rPr>
        <w:t xml:space="preserve">2015 </w:t>
      </w:r>
      <w:r w:rsidR="00D16868" w:rsidRPr="00DF1B28">
        <w:rPr>
          <w:sz w:val="27"/>
        </w:rPr>
        <w:t>quy định các bản án, quyết định của nước ngoài không có yêu cầu thi hành và không có đơn yêu cầu không công nhận thì mới được đương nhiên công nhận (không phải qua thủ tục tại Tòa án)</w:t>
      </w:r>
      <w:r w:rsidR="00D16868">
        <w:rPr>
          <w:sz w:val="27"/>
        </w:rPr>
        <w:t xml:space="preserve"> (Điều 431 BLTTDS 2015)</w:t>
      </w:r>
      <w:r w:rsidR="00D16868" w:rsidRPr="00DF1B28">
        <w:rPr>
          <w:sz w:val="27"/>
        </w:rPr>
        <w:t>. Tuy nhiên, Luật HNGĐ lại quy định việc ghi vào sổ hộ tịch chỉ căn cứ trên một trong hai tiêu chí nêu trên.</w:t>
      </w:r>
    </w:p>
    <w:p w:rsidR="00D16868" w:rsidRPr="00DF1B28" w:rsidRDefault="00D16868" w:rsidP="00D16868">
      <w:pPr>
        <w:pStyle w:val="BodyTextIndent"/>
        <w:spacing w:before="80" w:after="80" w:line="252" w:lineRule="auto"/>
        <w:rPr>
          <w:sz w:val="27"/>
        </w:rPr>
      </w:pPr>
      <w:r w:rsidRPr="00DF1B28">
        <w:rPr>
          <w:sz w:val="27"/>
        </w:rPr>
        <w:t xml:space="preserve">Mặc dù Luật Hộ tịch có quy định về ghi vào sổ hộ tịch (ghi chú) đối với bản án, quyết định của tòa án nước ngoài nhưng việc ghi chú chỉ thực hiện với các bản án, quyết định về sự kiện hộ tịch của công dân Việt Nam. Do đó, nếu sự kiện hộ tịch trong bản án quyết định là sự kiện của công dân nước ngoài thì không được ghi chú theo quy định của Luật Hộ tịch, từng cơ quan xem xét giấy tờ phải căn cứ trên cơ sở của </w:t>
      </w:r>
      <w:r w:rsidR="00520EB1">
        <w:rPr>
          <w:sz w:val="27"/>
        </w:rPr>
        <w:t xml:space="preserve">BLTTDS </w:t>
      </w:r>
      <w:r w:rsidRPr="00DF1B28">
        <w:rPr>
          <w:sz w:val="27"/>
        </w:rPr>
        <w:t>về trường hợp đương nhiên được công nhận để giải quyết các vụ việc có liên quan đến giấy tờ đó.</w:t>
      </w:r>
    </w:p>
    <w:p w:rsidR="00D02DB9" w:rsidRPr="00E713E2" w:rsidRDefault="00E713E2" w:rsidP="0072366F">
      <w:pPr>
        <w:pStyle w:val="BodyTextIndent"/>
        <w:spacing w:before="80" w:after="80" w:line="252" w:lineRule="auto"/>
        <w:rPr>
          <w:b/>
          <w:i/>
          <w:sz w:val="27"/>
        </w:rPr>
      </w:pPr>
      <w:r w:rsidRPr="00E713E2">
        <w:rPr>
          <w:b/>
          <w:i/>
          <w:sz w:val="27"/>
        </w:rPr>
        <w:t>1</w:t>
      </w:r>
      <w:r w:rsidR="000B094B" w:rsidRPr="00E713E2">
        <w:rPr>
          <w:b/>
          <w:i/>
          <w:sz w:val="27"/>
        </w:rPr>
        <w:t xml:space="preserve">.4 </w:t>
      </w:r>
      <w:r w:rsidR="00D16868" w:rsidRPr="00E713E2">
        <w:rPr>
          <w:b/>
          <w:i/>
          <w:sz w:val="27"/>
        </w:rPr>
        <w:t>Về các quy định khác</w:t>
      </w:r>
    </w:p>
    <w:p w:rsidR="00D02DB9" w:rsidRDefault="000B094B" w:rsidP="000B094B">
      <w:pPr>
        <w:pStyle w:val="BodyTextIndent"/>
        <w:spacing w:before="80" w:after="80" w:line="252" w:lineRule="auto"/>
        <w:rPr>
          <w:sz w:val="27"/>
        </w:rPr>
      </w:pPr>
      <w:r>
        <w:rPr>
          <w:sz w:val="27"/>
        </w:rPr>
        <w:t xml:space="preserve">Quy định về chứng nhận lãnh sự và hợp pháp hóa lãnh sự: </w:t>
      </w:r>
      <w:r w:rsidR="00D16868" w:rsidRPr="00DF1B28">
        <w:rPr>
          <w:sz w:val="27"/>
        </w:rPr>
        <w:t>Điều 9 Nghị định 111/2011/NĐ-CP ngày 5/12/2011 về chứng nhận lãnh sự, hợp pháp hóa lãnh sự trong đó quy định phạm vi giấy tờ được miễn hợp pháp hóa lãnh sự rộng hơn so với quy định tại Điều 124 Luật HNGĐ.</w:t>
      </w:r>
      <w:r w:rsidR="00D16868">
        <w:rPr>
          <w:sz w:val="27"/>
        </w:rPr>
        <w:t xml:space="preserve"> </w:t>
      </w:r>
      <w:r w:rsidR="00D16868" w:rsidRPr="00DF1B28">
        <w:rPr>
          <w:sz w:val="27"/>
        </w:rPr>
        <w:t>Vì vậy, nội dung hợp pháp hóa giấy tờ nên dẫn chiếu đến các quy định tương ứng về hợp pháp hóa lãnh sự nêu trên.</w:t>
      </w:r>
    </w:p>
    <w:p w:rsidR="00D624F5" w:rsidRDefault="00D624F5" w:rsidP="000B094B">
      <w:pPr>
        <w:pStyle w:val="BodyTextIndent"/>
        <w:spacing w:before="80" w:after="80" w:line="252" w:lineRule="auto"/>
        <w:rPr>
          <w:sz w:val="27"/>
        </w:rPr>
      </w:pPr>
      <w:r>
        <w:rPr>
          <w:sz w:val="27"/>
        </w:rPr>
        <w:t>Về xác định nội dung pháp luật áp dụng khi giải quyết vụ việc trước các cơ quan hành chính nhà nước, pháp luật chưa có quy định tương tự như Điều 481 BLTTDS năm 2015. Vì vậy, cơ quan hành chính nhà nước có thể gặp vướng mắc trong hoạt động này.</w:t>
      </w:r>
    </w:p>
    <w:p w:rsidR="007C5EE1" w:rsidRDefault="007C5EE1" w:rsidP="00FF02B9">
      <w:pPr>
        <w:pStyle w:val="BodyTextIndent"/>
        <w:spacing w:before="80" w:after="80" w:line="252" w:lineRule="auto"/>
        <w:rPr>
          <w:b/>
          <w:sz w:val="27"/>
        </w:rPr>
      </w:pPr>
      <w:r w:rsidRPr="00E713E2">
        <w:rPr>
          <w:b/>
          <w:sz w:val="27"/>
        </w:rPr>
        <w:t>2</w:t>
      </w:r>
      <w:r w:rsidR="00E713E2" w:rsidRPr="00E713E2">
        <w:rPr>
          <w:b/>
          <w:sz w:val="27"/>
        </w:rPr>
        <w:t>.</w:t>
      </w:r>
      <w:r w:rsidRPr="00E713E2">
        <w:rPr>
          <w:b/>
          <w:sz w:val="27"/>
        </w:rPr>
        <w:t xml:space="preserve"> Đánh giá sự phù hợp với các điều ước quốc tế mà Việt Nam là thành viên</w:t>
      </w:r>
      <w:r w:rsidR="000B094B" w:rsidRPr="00E713E2">
        <w:rPr>
          <w:b/>
          <w:sz w:val="27"/>
        </w:rPr>
        <w:t xml:space="preserve"> và chuẩn bị ký kết, gia nhập</w:t>
      </w:r>
    </w:p>
    <w:p w:rsidR="00084CB2" w:rsidRPr="00084CB2" w:rsidRDefault="00084CB2" w:rsidP="00FF02B9">
      <w:pPr>
        <w:pStyle w:val="BodyTextIndent"/>
        <w:spacing w:before="80" w:after="80" w:line="252" w:lineRule="auto"/>
        <w:rPr>
          <w:sz w:val="27"/>
        </w:rPr>
      </w:pPr>
      <w:r>
        <w:rPr>
          <w:sz w:val="27"/>
        </w:rPr>
        <w:t>Các quy định của Luật HNGĐ đã có sự phù hợp ở mức độ nhất định với các quy định trong các Hiệp định tương trợ tư pháp về dân sự mà Việt Nam đã ký kết (đặc biệt là pháp luật áp dụng đối với kết hôn, ly hôn, cấp dưỡng), về cơ bản đã đáp ứng các yêu cầu trong các điều ước quốc tế quan trọng về nhân quyền mà Việt Nam là thành viên. Tuy nhiên, nội dung của Luật HNGĐ vẫn cần được bổ sung, hoàn thiện thêm cho phù hợp hơn với các điều ước quốc tế có liên quan.</w:t>
      </w:r>
    </w:p>
    <w:p w:rsidR="00DF1B28" w:rsidRPr="00E713E2" w:rsidRDefault="00E713E2" w:rsidP="000B094B">
      <w:pPr>
        <w:pStyle w:val="BodyTextIndent"/>
        <w:spacing w:before="80" w:after="80" w:line="252" w:lineRule="auto"/>
        <w:rPr>
          <w:b/>
          <w:i/>
          <w:sz w:val="27"/>
        </w:rPr>
      </w:pPr>
      <w:r w:rsidRPr="00E713E2">
        <w:rPr>
          <w:b/>
          <w:i/>
          <w:sz w:val="27"/>
        </w:rPr>
        <w:t>2.</w:t>
      </w:r>
      <w:r w:rsidR="000B094B" w:rsidRPr="00E713E2">
        <w:rPr>
          <w:b/>
          <w:i/>
          <w:sz w:val="27"/>
        </w:rPr>
        <w:t xml:space="preserve">1 </w:t>
      </w:r>
      <w:r w:rsidR="00C22629" w:rsidRPr="00E713E2">
        <w:rPr>
          <w:b/>
          <w:i/>
          <w:sz w:val="27"/>
        </w:rPr>
        <w:t xml:space="preserve">Công ước La Hay </w:t>
      </w:r>
      <w:r w:rsidR="000B094B" w:rsidRPr="00E713E2">
        <w:rPr>
          <w:b/>
          <w:i/>
          <w:sz w:val="27"/>
        </w:rPr>
        <w:t xml:space="preserve">năm 1980 </w:t>
      </w:r>
      <w:r w:rsidR="00C22629" w:rsidRPr="00E713E2">
        <w:rPr>
          <w:b/>
          <w:i/>
          <w:sz w:val="27"/>
        </w:rPr>
        <w:t>về các khía cạnh dân sự của hành vi bắt cóc trẻ em quốc tế</w:t>
      </w:r>
    </w:p>
    <w:p w:rsidR="000B094B" w:rsidRDefault="000B094B" w:rsidP="00DF1B28">
      <w:pPr>
        <w:pStyle w:val="BodyTextIndent"/>
        <w:spacing w:before="80" w:after="80" w:line="252" w:lineRule="auto"/>
        <w:rPr>
          <w:sz w:val="27"/>
        </w:rPr>
      </w:pPr>
      <w:r>
        <w:rPr>
          <w:sz w:val="27"/>
        </w:rPr>
        <w:t xml:space="preserve">Việt Nam chưa phải là thành viên của Công ước này nhưng đang tích cực nghiên cứu chuẩn bị hồ sơ gia nhập vào năm 2021 theo Quyết định số 49/QĐ-TTg ngày 11/01/2018 của Thủ tướng Chính phủ phê duyệt Kế hoạch chuẩn bị gia nhập Công ước La Hay năm 1980 về các khía cạnh dân sự của hành vi bắt cóc trẻ em quốc tế. Công ước quy định quyền nuôi dưỡng (bao gồm cả nội dung quyết định nơi cư trú của trẻ) phát sinh trên cơ sở quy định của pháp luật, </w:t>
      </w:r>
      <w:r w:rsidR="00697B2E">
        <w:rPr>
          <w:sz w:val="27"/>
        </w:rPr>
        <w:t xml:space="preserve">thỏa thuận của cha mẹ hoặc quyết định của cơ quan có thẩm quyền là cơ sở để yêu cầu trả lại trẻ về nơi thường trú khi trẻ bị đưa đi hoặc giữ lại trái phép xuyên quốc </w:t>
      </w:r>
      <w:r w:rsidR="0028410D">
        <w:rPr>
          <w:sz w:val="27"/>
        </w:rPr>
        <w:t xml:space="preserve">gia. Công ước cũng quy định về quyền thăm nom bao gồm cả quyền đưa trẻ đi có thời hạn khỏi nơi thường trú. </w:t>
      </w:r>
    </w:p>
    <w:p w:rsidR="00DF1B28" w:rsidRPr="00DF1B28" w:rsidRDefault="00213F4E" w:rsidP="0028410D">
      <w:pPr>
        <w:pStyle w:val="BodyTextIndent"/>
        <w:spacing w:before="80" w:after="80" w:line="252" w:lineRule="auto"/>
        <w:rPr>
          <w:sz w:val="27"/>
        </w:rPr>
      </w:pPr>
      <w:r>
        <w:rPr>
          <w:sz w:val="27"/>
        </w:rPr>
        <w:t xml:space="preserve">Về quyền nuôi dưỡng, quyền thăm nom, </w:t>
      </w:r>
      <w:r w:rsidR="00DF1B28" w:rsidRPr="00DF1B28">
        <w:rPr>
          <w:sz w:val="27"/>
        </w:rPr>
        <w:t>Luật HNGĐ</w:t>
      </w:r>
      <w:r w:rsidR="0028410D">
        <w:rPr>
          <w:sz w:val="27"/>
        </w:rPr>
        <w:t xml:space="preserve"> (các Điều từ 81 đến 83)</w:t>
      </w:r>
      <w:r w:rsidR="00DF1B28" w:rsidRPr="00DF1B28">
        <w:rPr>
          <w:sz w:val="27"/>
        </w:rPr>
        <w:t xml:space="preserve"> chỉ xác định một người trực tiếp nuôi con, còn quyền trông nom, nuôi dưỡng, chăm sóc, giáo dục con vẫn thuộc về cha mẹ sau ly hôn. Bên cha mẹ không trực tiếp nuôi con có quyền thăm nom con.</w:t>
      </w:r>
      <w:r w:rsidR="0028410D">
        <w:rPr>
          <w:sz w:val="27"/>
        </w:rPr>
        <w:t xml:space="preserve"> </w:t>
      </w:r>
      <w:r w:rsidR="00DF1B28" w:rsidRPr="00DF1B28">
        <w:rPr>
          <w:sz w:val="27"/>
        </w:rPr>
        <w:t>Tuy nhiên, việc chưa có định nghĩa cụ thể về quyền nuôi dưỡng, quyền thăm nom dẫn đến khó xác định người có quyền quyết định nơi cư trú của trẻ sau khi ly hôn, đặc biệt là xác định sự cần thiết phải có ý kiến của bên cha mẹ còn lại khi thay đổi nơi cư</w:t>
      </w:r>
      <w:r w:rsidR="0001111E">
        <w:rPr>
          <w:sz w:val="27"/>
        </w:rPr>
        <w:t xml:space="preserve"> trú của trẻ. </w:t>
      </w:r>
      <w:r w:rsidR="00DF1B28" w:rsidRPr="00DF1B28">
        <w:rPr>
          <w:sz w:val="27"/>
        </w:rPr>
        <w:t>Điều này có thể gây khó khăn cho việc áp dụng các quy định về quyền nuôi dưỡng và quyền thăm nom khi Việt Nam trở thành thành viên của Công ước</w:t>
      </w:r>
      <w:r w:rsidR="0028410D">
        <w:rPr>
          <w:sz w:val="27"/>
        </w:rPr>
        <w:t xml:space="preserve"> này</w:t>
      </w:r>
      <w:r w:rsidR="00DF1B28" w:rsidRPr="00DF1B28">
        <w:rPr>
          <w:sz w:val="27"/>
        </w:rPr>
        <w:t>.</w:t>
      </w:r>
      <w:r w:rsidR="0028410D">
        <w:rPr>
          <w:sz w:val="27"/>
        </w:rPr>
        <w:t xml:space="preserve"> </w:t>
      </w:r>
      <w:r w:rsidR="00DF1B28" w:rsidRPr="00DF1B28">
        <w:rPr>
          <w:sz w:val="27"/>
        </w:rPr>
        <w:t>Vì vậy, đề ngh</w:t>
      </w:r>
      <w:r w:rsidR="0028410D">
        <w:rPr>
          <w:sz w:val="27"/>
        </w:rPr>
        <w:t>ị cân nhắc phân định rõ phạm vi</w:t>
      </w:r>
      <w:r w:rsidR="00DF1B28" w:rsidRPr="00DF1B28">
        <w:rPr>
          <w:sz w:val="27"/>
        </w:rPr>
        <w:t xml:space="preserve"> và đưa ra định nghĩa cụ thể về quyền nuôi dưỡng và quyền thăm nom</w:t>
      </w:r>
      <w:r w:rsidR="0028410D">
        <w:rPr>
          <w:sz w:val="27"/>
        </w:rPr>
        <w:t>, có tính đến quyền quyết định nơi cư trú của trẻ</w:t>
      </w:r>
      <w:r w:rsidR="00DF1B28" w:rsidRPr="00DF1B28">
        <w:rPr>
          <w:sz w:val="27"/>
        </w:rPr>
        <w:t>.</w:t>
      </w:r>
    </w:p>
    <w:p w:rsidR="00DF1B28" w:rsidRPr="00DF1B28" w:rsidRDefault="00213F4E" w:rsidP="00857BDD">
      <w:pPr>
        <w:pStyle w:val="BodyTextIndent"/>
        <w:spacing w:before="80" w:after="80" w:line="252" w:lineRule="auto"/>
        <w:rPr>
          <w:sz w:val="27"/>
        </w:rPr>
      </w:pPr>
      <w:r>
        <w:rPr>
          <w:sz w:val="27"/>
        </w:rPr>
        <w:t xml:space="preserve">Về thỏa thuận của cha mẹ về việc nuôi dưỡng, thăm nom con, </w:t>
      </w:r>
      <w:r w:rsidR="00DF1B28" w:rsidRPr="00DF1B28">
        <w:rPr>
          <w:sz w:val="27"/>
        </w:rPr>
        <w:t>Điều 81 Luật HNGĐ cho phép cha mẹ trẻ thỏa thuận về người trực tiếp nuôi con sau khi ly hôn.</w:t>
      </w:r>
      <w:r w:rsidR="0028410D">
        <w:rPr>
          <w:sz w:val="27"/>
        </w:rPr>
        <w:t xml:space="preserve"> </w:t>
      </w:r>
      <w:r w:rsidR="00DF1B28" w:rsidRPr="00DF1B28">
        <w:rPr>
          <w:sz w:val="27"/>
        </w:rPr>
        <w:t xml:space="preserve">Luật HNGĐ </w:t>
      </w:r>
      <w:r w:rsidR="0028410D">
        <w:rPr>
          <w:sz w:val="27"/>
        </w:rPr>
        <w:t xml:space="preserve">(Điều 15, 16) </w:t>
      </w:r>
      <w:r w:rsidR="00DF1B28" w:rsidRPr="00DF1B28">
        <w:rPr>
          <w:sz w:val="27"/>
        </w:rPr>
        <w:t xml:space="preserve">cũng cho phép nam nữ chung sống như vợ chồng thỏa thuận về vấn đề tài sản, bảo đảm quyền và nghĩa vụ của cha mẹ và con như trường hợp cha mẹ có kết hôn. Tuy nhiên Luật chưa có quy định cụ thể về điều kiện có hiệu lực của thỏa thuận này. Ngoài trường hợp ly hôn thì hiện nay chưa có trường hợp nào cha mẹ được thỏa thuận về người trực tiếp nuôi con. Luật HNGĐ </w:t>
      </w:r>
      <w:r>
        <w:rPr>
          <w:sz w:val="27"/>
        </w:rPr>
        <w:t xml:space="preserve">(Điều 15) </w:t>
      </w:r>
      <w:r w:rsidR="00DF1B28" w:rsidRPr="00DF1B28">
        <w:rPr>
          <w:sz w:val="27"/>
        </w:rPr>
        <w:t>cho phép vợ chồng thỏa thuận về nơi cư trú, trường hợp hai vợ chồng lựa chọn nơi cư trú khác nhau thì Luật chưa quy định các bên có thể thỏa thuận về nội dung liên quan đến người trực tiếp nuôi con và nơi cư trú của con hay không.</w:t>
      </w:r>
      <w:r w:rsidR="00857BDD">
        <w:rPr>
          <w:sz w:val="27"/>
        </w:rPr>
        <w:t xml:space="preserve"> </w:t>
      </w:r>
      <w:r w:rsidR="00DF1B28" w:rsidRPr="00DF1B28">
        <w:rPr>
          <w:sz w:val="27"/>
        </w:rPr>
        <w:t>Xét theo nghĩa rộng có thể áp dụng các quy định của BLDS đối với thỏa thuận giữa cha mẹ về việc nuôi dưỡng, thăm nom con nhưng cần cân nhắc có các quy định riêng đối với loại thỏa thuận này vì các nguyên tắc của BLDS là để tối đa hóa tự do hợp đồng, trong khi các thỏa thuận của cha mẹ trẻ cần phải bảo đảm lợi ích tốt nhất cho trẻ.</w:t>
      </w:r>
      <w:r w:rsidR="00857BDD">
        <w:rPr>
          <w:sz w:val="27"/>
        </w:rPr>
        <w:t xml:space="preserve"> Trong </w:t>
      </w:r>
      <w:r w:rsidR="00DF1B28" w:rsidRPr="00DF1B28">
        <w:rPr>
          <w:sz w:val="27"/>
        </w:rPr>
        <w:t>quan hệ</w:t>
      </w:r>
      <w:r w:rsidR="00857BDD">
        <w:rPr>
          <w:sz w:val="27"/>
        </w:rPr>
        <w:t xml:space="preserve"> HNGĐ có YTNN quy định về pháp luật áp dụng đối với vấn đề này cũng cần được quy định rõ ràng</w:t>
      </w:r>
      <w:r>
        <w:rPr>
          <w:sz w:val="27"/>
        </w:rPr>
        <w:t>.</w:t>
      </w:r>
    </w:p>
    <w:p w:rsidR="00DF1B28" w:rsidRPr="00E713E2" w:rsidRDefault="00E713E2" w:rsidP="00DF1B28">
      <w:pPr>
        <w:pStyle w:val="BodyTextIndent"/>
        <w:spacing w:before="80" w:after="80" w:line="252" w:lineRule="auto"/>
        <w:rPr>
          <w:b/>
          <w:i/>
          <w:sz w:val="27"/>
        </w:rPr>
      </w:pPr>
      <w:r w:rsidRPr="00E713E2">
        <w:rPr>
          <w:b/>
          <w:i/>
          <w:sz w:val="27"/>
        </w:rPr>
        <w:t>2</w:t>
      </w:r>
      <w:r w:rsidR="00213F4E" w:rsidRPr="00E713E2">
        <w:rPr>
          <w:b/>
          <w:i/>
          <w:sz w:val="27"/>
        </w:rPr>
        <w:t xml:space="preserve">.2 </w:t>
      </w:r>
      <w:r w:rsidR="00C22629" w:rsidRPr="00E713E2">
        <w:rPr>
          <w:b/>
          <w:i/>
          <w:sz w:val="27"/>
        </w:rPr>
        <w:t>Công ước quốc tế về quyền trẻ em</w:t>
      </w:r>
      <w:r w:rsidR="00213F4E" w:rsidRPr="00E713E2">
        <w:rPr>
          <w:b/>
          <w:i/>
          <w:sz w:val="27"/>
        </w:rPr>
        <w:t xml:space="preserve"> UNCRC</w:t>
      </w:r>
    </w:p>
    <w:p w:rsidR="00090B50" w:rsidRPr="00DF1B28" w:rsidRDefault="00213F4E" w:rsidP="00090B50">
      <w:pPr>
        <w:pStyle w:val="BodyTextIndent"/>
        <w:spacing w:before="80" w:after="80" w:line="252" w:lineRule="auto"/>
        <w:rPr>
          <w:sz w:val="27"/>
        </w:rPr>
      </w:pPr>
      <w:r>
        <w:rPr>
          <w:sz w:val="27"/>
        </w:rPr>
        <w:t>Về việc hạn chế quyền của cha mẹ nhằm đảm bảo lợi ích tốt nhất của trẻ, p</w:t>
      </w:r>
      <w:r w:rsidR="00090B50" w:rsidRPr="00090B50">
        <w:rPr>
          <w:sz w:val="27"/>
        </w:rPr>
        <w:t>háp luật hiện hành chưa có quy định về việc hạn chế vĩnh viễn hay tước hoàn toàn quyền của cha mẹ với con chưa thành niên</w:t>
      </w:r>
      <w:r w:rsidR="00090B50">
        <w:rPr>
          <w:sz w:val="27"/>
        </w:rPr>
        <w:t xml:space="preserve">. </w:t>
      </w:r>
      <w:r w:rsidR="00090B50" w:rsidRPr="00090B50">
        <w:rPr>
          <w:sz w:val="27"/>
        </w:rPr>
        <w:t xml:space="preserve">Trên thực tế đã có nhiều trường hợp cha mẹ bỏ rơi, thiếu trách nhiệm với con (đặc biệt trong các trường hợp để lại trẻ tại các cơ sở nuôi dưỡng, hết thời hạn mà không đến nhận lại trẻ mà không vì lý do khách quan) hoặc cha mẹ ngược đãi nghiêm trọng, cố ý xâm phạm tính mạng, sức khỏe của con. Vì vậy, cần nghiên cứu bổ sung quy định tước bỏ </w:t>
      </w:r>
      <w:r w:rsidR="0056406D">
        <w:rPr>
          <w:sz w:val="27"/>
        </w:rPr>
        <w:t xml:space="preserve">toàn bộ hoặc một số </w:t>
      </w:r>
      <w:r w:rsidR="00090B50" w:rsidRPr="00090B50">
        <w:rPr>
          <w:sz w:val="27"/>
        </w:rPr>
        <w:t>quyền của cha mẹ với con chưa thành niên cân nhắc mức độ nghiêm trọng của hành vi và vì lợi ích tốt nhất của trẻ</w:t>
      </w:r>
      <w:r w:rsidR="0056406D">
        <w:rPr>
          <w:sz w:val="27"/>
        </w:rPr>
        <w:t xml:space="preserve"> phù hợp với quy định của Công ước quốc tế về quyền trẻ em (Điều 9)</w:t>
      </w:r>
      <w:r w:rsidR="00090B50" w:rsidRPr="00090B50">
        <w:rPr>
          <w:sz w:val="27"/>
        </w:rPr>
        <w:t>.</w:t>
      </w:r>
    </w:p>
    <w:p w:rsidR="00DF1B28" w:rsidRDefault="00213F4E" w:rsidP="00213F4E">
      <w:pPr>
        <w:pStyle w:val="BodyTextIndent"/>
        <w:spacing w:before="80" w:after="80" w:line="252" w:lineRule="auto"/>
        <w:rPr>
          <w:sz w:val="27"/>
        </w:rPr>
      </w:pPr>
      <w:r>
        <w:rPr>
          <w:sz w:val="27"/>
        </w:rPr>
        <w:t xml:space="preserve">Về việc đảm bảo quyền được khai sinh của trẻ, </w:t>
      </w:r>
      <w:r w:rsidR="00DF1B28" w:rsidRPr="00DF1B28">
        <w:rPr>
          <w:sz w:val="27"/>
        </w:rPr>
        <w:t>Luật HNGĐ cấm mang thai hộ vì mục đích</w:t>
      </w:r>
      <w:r w:rsidR="00C22629">
        <w:rPr>
          <w:sz w:val="27"/>
        </w:rPr>
        <w:t xml:space="preserve"> thương mại và chỉ quy định về v</w:t>
      </w:r>
      <w:r w:rsidR="00DF1B28" w:rsidRPr="00DF1B28">
        <w:rPr>
          <w:sz w:val="27"/>
        </w:rPr>
        <w:t>iệc xác định cha mẹ trong trường hợp mang thai hộ vì mục</w:t>
      </w:r>
      <w:r>
        <w:rPr>
          <w:sz w:val="27"/>
        </w:rPr>
        <w:t xml:space="preserve"> đích nhân đạo nhưng </w:t>
      </w:r>
      <w:r w:rsidR="00DF1B28" w:rsidRPr="00DF1B28">
        <w:rPr>
          <w:sz w:val="27"/>
        </w:rPr>
        <w:t xml:space="preserve">quyền được khai sinh của trẻ sinh ra do mang thai hộ vì mục đích thương mại vẫn phải được bảo đảm vì đây là quyền cơ bản đã được quy định tại BLDS </w:t>
      </w:r>
      <w:r>
        <w:rPr>
          <w:sz w:val="27"/>
        </w:rPr>
        <w:t xml:space="preserve">2015 (Điều 30) </w:t>
      </w:r>
      <w:r w:rsidR="00DF1B28" w:rsidRPr="00DF1B28">
        <w:rPr>
          <w:sz w:val="27"/>
        </w:rPr>
        <w:t>và Công ước quốc tế về quyền trẻ em (Điều 7).</w:t>
      </w:r>
      <w:r>
        <w:rPr>
          <w:sz w:val="27"/>
        </w:rPr>
        <w:t xml:space="preserve"> </w:t>
      </w:r>
      <w:r w:rsidR="00DF1B28" w:rsidRPr="00DF1B28">
        <w:rPr>
          <w:sz w:val="27"/>
        </w:rPr>
        <w:t>Mặc dù pháp luật về hộ tịch</w:t>
      </w:r>
      <w:r>
        <w:rPr>
          <w:sz w:val="27"/>
        </w:rPr>
        <w:t xml:space="preserve"> (Điều 16 Luật Hộ tịch năm 2014 và Điều 16 Nghị định 123/2015/NĐ-CP)</w:t>
      </w:r>
      <w:r w:rsidR="00DF1B28" w:rsidRPr="00DF1B28">
        <w:rPr>
          <w:sz w:val="27"/>
        </w:rPr>
        <w:t xml:space="preserve"> không quy định việc mang thai hộ phải vì mục đích nhân đạo trẻ mới được khai sinh nhưng trong thủ tục khai sinh phải nộp các văn bản chứng minh việc mang thai hộ theo quy định của pháp luật và xác nhận của cơ sở y tế đã thực hiện kỹ thuật hỗ trợ sinh sản cho việc mang thai hộ.</w:t>
      </w:r>
      <w:r>
        <w:rPr>
          <w:sz w:val="27"/>
        </w:rPr>
        <w:t xml:space="preserve"> </w:t>
      </w:r>
      <w:r w:rsidR="00DF1B28" w:rsidRPr="00DF1B28">
        <w:rPr>
          <w:sz w:val="27"/>
        </w:rPr>
        <w:t>Như vậy trong những trường hợp này vì lợi ích của trẻ em đã sinh ra</w:t>
      </w:r>
      <w:r w:rsidR="0001111E">
        <w:rPr>
          <w:sz w:val="27"/>
        </w:rPr>
        <w:t>,</w:t>
      </w:r>
      <w:r w:rsidR="00DF1B28" w:rsidRPr="00DF1B28">
        <w:rPr>
          <w:sz w:val="27"/>
        </w:rPr>
        <w:t xml:space="preserve"> vẫn phải chấp nhận thực hiện việc khai sinh và tạo điều kiện cho trẻ sống với gia đình nhờ mang thai hộ (gia đình sinh học) hoặc gia đình đang trực tiếp nuôi dưỡng trẻ (nếu trẻ bị gia đình nhờ mang thai hộ từ chối nhận). Vì vậy cần cân nhắc quy định rõ ràng để giải quyết hậu quả các khía cạnh dân sự trong trường hợp trẻ sinh ra do mang thai hộ vì mục đích thương mại: cụ thể là trẻ có được thừa nhận về mặt pháp lý là con của cặp vợ chồng nhờ mang thai hộ hay không, đặc biệt là trong bối cảnh việc mang thai hộ có</w:t>
      </w:r>
      <w:r w:rsidR="0001111E">
        <w:rPr>
          <w:sz w:val="27"/>
        </w:rPr>
        <w:t xml:space="preserve"> YTNN</w:t>
      </w:r>
      <w:r w:rsidR="00DF1B28" w:rsidRPr="00DF1B28">
        <w:rPr>
          <w:sz w:val="27"/>
        </w:rPr>
        <w:t xml:space="preserve">. </w:t>
      </w:r>
    </w:p>
    <w:p w:rsidR="00C22629" w:rsidRPr="00E713E2" w:rsidRDefault="00E713E2" w:rsidP="00DF1B28">
      <w:pPr>
        <w:pStyle w:val="BodyTextIndent"/>
        <w:spacing w:before="80" w:after="80" w:line="252" w:lineRule="auto"/>
        <w:rPr>
          <w:b/>
          <w:sz w:val="27"/>
        </w:rPr>
      </w:pPr>
      <w:r w:rsidRPr="00E713E2">
        <w:rPr>
          <w:b/>
          <w:sz w:val="27"/>
        </w:rPr>
        <w:t xml:space="preserve">2.3 </w:t>
      </w:r>
      <w:r w:rsidR="00C22629" w:rsidRPr="00E713E2">
        <w:rPr>
          <w:b/>
          <w:sz w:val="27"/>
        </w:rPr>
        <w:t xml:space="preserve">Công ước </w:t>
      </w:r>
      <w:r w:rsidR="00FA2163" w:rsidRPr="00E713E2">
        <w:rPr>
          <w:b/>
          <w:sz w:val="27"/>
        </w:rPr>
        <w:t xml:space="preserve">quốc tế </w:t>
      </w:r>
      <w:r w:rsidR="00C22629" w:rsidRPr="00E713E2">
        <w:rPr>
          <w:b/>
          <w:sz w:val="27"/>
        </w:rPr>
        <w:t xml:space="preserve">về </w:t>
      </w:r>
      <w:r w:rsidR="00213F4E" w:rsidRPr="00E713E2">
        <w:rPr>
          <w:b/>
          <w:sz w:val="27"/>
        </w:rPr>
        <w:t xml:space="preserve">các </w:t>
      </w:r>
      <w:r w:rsidR="00C22629" w:rsidRPr="00E713E2">
        <w:rPr>
          <w:b/>
          <w:sz w:val="27"/>
        </w:rPr>
        <w:t>quyền dân sự chính trị</w:t>
      </w:r>
      <w:r w:rsidR="00FA2163" w:rsidRPr="00E713E2">
        <w:rPr>
          <w:b/>
          <w:sz w:val="27"/>
        </w:rPr>
        <w:t xml:space="preserve"> </w:t>
      </w:r>
      <w:r w:rsidR="00213F4E" w:rsidRPr="00E713E2">
        <w:rPr>
          <w:b/>
          <w:sz w:val="27"/>
        </w:rPr>
        <w:t>ICCPR</w:t>
      </w:r>
    </w:p>
    <w:p w:rsidR="00FA2163" w:rsidRDefault="00090B50" w:rsidP="00090B50">
      <w:pPr>
        <w:pStyle w:val="BodyTextIndent"/>
        <w:spacing w:before="80" w:after="80" w:line="252" w:lineRule="auto"/>
        <w:rPr>
          <w:sz w:val="27"/>
        </w:rPr>
      </w:pPr>
      <w:r>
        <w:rPr>
          <w:sz w:val="27"/>
        </w:rPr>
        <w:t xml:space="preserve">- </w:t>
      </w:r>
      <w:r w:rsidR="00FA2163">
        <w:rPr>
          <w:sz w:val="27"/>
        </w:rPr>
        <w:t xml:space="preserve">Điều 23 </w:t>
      </w:r>
      <w:r w:rsidR="00213F4E">
        <w:rPr>
          <w:sz w:val="27"/>
        </w:rPr>
        <w:t xml:space="preserve">ICCPR </w:t>
      </w:r>
      <w:r w:rsidR="00FA2163">
        <w:rPr>
          <w:sz w:val="27"/>
        </w:rPr>
        <w:t xml:space="preserve">và Điều 16 Công ước </w:t>
      </w:r>
      <w:r>
        <w:rPr>
          <w:sz w:val="27"/>
        </w:rPr>
        <w:t xml:space="preserve">về loại bỏ mọi hình thức phân biệt đối xử với phụ nữ </w:t>
      </w:r>
      <w:r w:rsidR="00213F4E">
        <w:rPr>
          <w:sz w:val="27"/>
        </w:rPr>
        <w:t xml:space="preserve">CEDAW </w:t>
      </w:r>
      <w:r>
        <w:rPr>
          <w:sz w:val="27"/>
        </w:rPr>
        <w:t>đều</w:t>
      </w:r>
      <w:r w:rsidR="00FA2163">
        <w:rPr>
          <w:sz w:val="27"/>
        </w:rPr>
        <w:t xml:space="preserve"> ghi nhận quyền của nam nữ đến độ tuổi kết hôn</w:t>
      </w:r>
      <w:r w:rsidR="00213F4E">
        <w:rPr>
          <w:sz w:val="27"/>
        </w:rPr>
        <w:t xml:space="preserve"> trong việc</w:t>
      </w:r>
      <w:r w:rsidR="00FA2163">
        <w:rPr>
          <w:sz w:val="27"/>
        </w:rPr>
        <w:t xml:space="preserve"> kết hôn và lập gia đình và các quốc gia có nghĩa vụ thực thi các biện pháp cần thiết để bảo đảm bình đẳng về quyền và nghĩa vụ giữa các bên phối ngẫu đối với việc kết hôn, trong quá trình hôn nhân và chấm dứt hôn nhân.</w:t>
      </w:r>
    </w:p>
    <w:p w:rsidR="00DF1B28" w:rsidRDefault="00090B50" w:rsidP="00DF1B28">
      <w:pPr>
        <w:pStyle w:val="BodyTextIndent"/>
        <w:spacing w:before="80" w:after="80" w:line="252" w:lineRule="auto"/>
        <w:rPr>
          <w:sz w:val="27"/>
        </w:rPr>
      </w:pPr>
      <w:r>
        <w:rPr>
          <w:sz w:val="27"/>
        </w:rPr>
        <w:t xml:space="preserve">Hiện nay Điều 8 Luật HNGĐ vẫn quy định </w:t>
      </w:r>
      <w:r w:rsidR="00213F4E">
        <w:rPr>
          <w:sz w:val="27"/>
        </w:rPr>
        <w:t>t</w:t>
      </w:r>
      <w:r w:rsidR="00DF1B28" w:rsidRPr="00DF1B28">
        <w:rPr>
          <w:sz w:val="27"/>
        </w:rPr>
        <w:t>uổi kết hôn khác nhau giữa nam và nữ. Trên cơ sở nguyên tắc không phân biệt đối xử về giới, cần cân nhắc áp</w:t>
      </w:r>
      <w:r>
        <w:rPr>
          <w:sz w:val="27"/>
        </w:rPr>
        <w:t xml:space="preserve"> dụng chung một độ tuổi kết hôn.</w:t>
      </w:r>
    </w:p>
    <w:p w:rsidR="00DF1B28" w:rsidRDefault="00090B50" w:rsidP="00213F4E">
      <w:pPr>
        <w:pStyle w:val="BodyTextIndent"/>
        <w:spacing w:before="80" w:after="80" w:line="252" w:lineRule="auto"/>
        <w:rPr>
          <w:sz w:val="27"/>
        </w:rPr>
      </w:pPr>
      <w:r>
        <w:rPr>
          <w:sz w:val="27"/>
        </w:rPr>
        <w:t>- Thông tư liên tịch số 01/2016/TTLT-TANDTC-VKSNDTC-BTP ngày 06/1/2016 hướng dẫn thi hành một số quy định của Luật H</w:t>
      </w:r>
      <w:r w:rsidR="008D4048">
        <w:rPr>
          <w:sz w:val="27"/>
        </w:rPr>
        <w:t>NGĐ</w:t>
      </w:r>
      <w:r>
        <w:rPr>
          <w:sz w:val="27"/>
        </w:rPr>
        <w:t xml:space="preserve"> </w:t>
      </w:r>
      <w:r w:rsidR="00DF1B28" w:rsidRPr="00DF1B28">
        <w:rPr>
          <w:sz w:val="27"/>
        </w:rPr>
        <w:t>quy định “Người vợ hoặc chồng ở nhà chăm sóc con, gia đình mà không đi làm được tính là lao động có thu nhập tương đương với thu nhập của chồng hoặc vợ đi làm”</w:t>
      </w:r>
      <w:r w:rsidR="00213F4E">
        <w:rPr>
          <w:sz w:val="27"/>
        </w:rPr>
        <w:t xml:space="preserve"> </w:t>
      </w:r>
      <w:r w:rsidR="00DF1B28" w:rsidRPr="00DF1B28">
        <w:rPr>
          <w:sz w:val="27"/>
        </w:rPr>
        <w:t>Quy định này áp dụng đối với trường hợp ly hôn hoặc chia tài sản chung của vợ chồng trong thời kỳ hôn nhân. Pháp luật hiện hành chưa quy đị</w:t>
      </w:r>
      <w:r w:rsidR="00357340">
        <w:rPr>
          <w:sz w:val="27"/>
        </w:rPr>
        <w:t>nh hay dẫn chiếu về cách hiểu đối với</w:t>
      </w:r>
      <w:r w:rsidR="00DF1B28" w:rsidRPr="00DF1B28">
        <w:rPr>
          <w:sz w:val="27"/>
        </w:rPr>
        <w:t xml:space="preserve"> thu nhập của người ở nhà chăm sóc gia đình trong các trường hợp không kết hôn</w:t>
      </w:r>
      <w:r w:rsidR="00213F4E">
        <w:rPr>
          <w:sz w:val="27"/>
        </w:rPr>
        <w:t xml:space="preserve"> để đảm bảo quyền bình đẳng về kinh tế giữa các thành viên trong gia đình</w:t>
      </w:r>
      <w:r w:rsidR="00357340">
        <w:rPr>
          <w:sz w:val="27"/>
        </w:rPr>
        <w:t>, bảo vệ quyền lợi của phụ nữ trong quan hệ chung sống không kết hôn</w:t>
      </w:r>
      <w:r w:rsidR="00857BDD">
        <w:rPr>
          <w:sz w:val="27"/>
        </w:rPr>
        <w:t xml:space="preserve"> để đảm bảo</w:t>
      </w:r>
      <w:r w:rsidR="00357340">
        <w:rPr>
          <w:sz w:val="27"/>
        </w:rPr>
        <w:t xml:space="preserve"> phù hợp với các khuyến nghị chung về Điều 16 CEDAW</w:t>
      </w:r>
      <w:r w:rsidR="00DF1B28" w:rsidRPr="00DF1B28">
        <w:rPr>
          <w:sz w:val="27"/>
        </w:rPr>
        <w:t>.</w:t>
      </w:r>
    </w:p>
    <w:p w:rsidR="00C22629" w:rsidRPr="00E713E2" w:rsidRDefault="00E713E2" w:rsidP="00DF1B28">
      <w:pPr>
        <w:pStyle w:val="BodyTextIndent"/>
        <w:spacing w:before="80" w:after="80" w:line="252" w:lineRule="auto"/>
        <w:rPr>
          <w:b/>
          <w:i/>
          <w:sz w:val="27"/>
        </w:rPr>
      </w:pPr>
      <w:r w:rsidRPr="00E713E2">
        <w:rPr>
          <w:b/>
          <w:i/>
          <w:sz w:val="27"/>
        </w:rPr>
        <w:t>2.</w:t>
      </w:r>
      <w:r w:rsidR="00213F4E" w:rsidRPr="00E713E2">
        <w:rPr>
          <w:b/>
          <w:i/>
          <w:sz w:val="27"/>
        </w:rPr>
        <w:t xml:space="preserve">4 </w:t>
      </w:r>
      <w:r w:rsidR="00C22629" w:rsidRPr="00E713E2">
        <w:rPr>
          <w:b/>
          <w:i/>
          <w:sz w:val="27"/>
        </w:rPr>
        <w:t>Vấn đề khác</w:t>
      </w:r>
    </w:p>
    <w:p w:rsidR="00DF1B28" w:rsidRPr="00DF1B28" w:rsidRDefault="00DF1B28" w:rsidP="00DF1B28">
      <w:pPr>
        <w:pStyle w:val="BodyTextIndent"/>
        <w:spacing w:before="80" w:after="80" w:line="252" w:lineRule="auto"/>
        <w:rPr>
          <w:sz w:val="27"/>
        </w:rPr>
      </w:pPr>
      <w:r w:rsidRPr="00DF1B28">
        <w:rPr>
          <w:sz w:val="27"/>
        </w:rPr>
        <w:t>Luật HNGĐ chưa có quy định cụ thể về việc công nhận hay không công nhận quan hệ cha mẹ con phát sinh trên cơ sở pháp luật nước ngoài hoặc theo sự thừa nhận của cha mẹ (không phải quyết định của cơ quan nhà nước có thẩm quyền như tòa án).</w:t>
      </w:r>
    </w:p>
    <w:p w:rsidR="00DF1B28" w:rsidRDefault="00DF1B28" w:rsidP="00E713E2">
      <w:pPr>
        <w:pStyle w:val="BodyTextIndent"/>
        <w:spacing w:before="80" w:after="80" w:line="252" w:lineRule="auto"/>
        <w:rPr>
          <w:sz w:val="27"/>
        </w:rPr>
      </w:pPr>
      <w:r w:rsidRPr="00DF1B28">
        <w:rPr>
          <w:sz w:val="27"/>
        </w:rPr>
        <w:t>Theo nghiên cứu của Hội nghị La Hay về tư pháp quốc tế (Báo cáo của nhóm chuyên gia về quan hệ pháp lý cha mẹ con và mang thai hộ)</w:t>
      </w:r>
      <w:r w:rsidR="00E713E2">
        <w:rPr>
          <w:rStyle w:val="FootnoteReference"/>
          <w:sz w:val="27"/>
        </w:rPr>
        <w:footnoteReference w:id="2"/>
      </w:r>
      <w:r w:rsidR="00E713E2">
        <w:rPr>
          <w:sz w:val="27"/>
        </w:rPr>
        <w:t xml:space="preserve"> t</w:t>
      </w:r>
      <w:r w:rsidRPr="00DF1B28">
        <w:rPr>
          <w:sz w:val="27"/>
        </w:rPr>
        <w:t>ại nhiều quốc gia, quan hệ dạng này thường được đương nhiên công nhận, các bên chỉ cần xuất trình bằng chứng là giấy khai sinh của trẻ. Tuy nhiên, vấn đề này cần tiếp tục nghiên cứu thêm trên cơ sở thực tiễn để có đề xuất cụ thể.</w:t>
      </w:r>
    </w:p>
    <w:p w:rsidR="003F3DC0" w:rsidRPr="00DF1B28" w:rsidRDefault="003F3DC0" w:rsidP="00E713E2">
      <w:pPr>
        <w:pStyle w:val="BodyTextIndent"/>
        <w:spacing w:before="80" w:after="80" w:line="252" w:lineRule="auto"/>
        <w:rPr>
          <w:sz w:val="27"/>
        </w:rPr>
      </w:pPr>
      <w:r>
        <w:rPr>
          <w:sz w:val="27"/>
        </w:rPr>
        <w:t>Ngoài ra, vấn đề công nhận hiệu lực của hôn nhân đồng giới cũng đã được nhắc đến trong các khuyến nghị về nhân quyền của Liên hợp quốc. Việc pháp luật một số nước đã cho phép hôn nhân đồng giới dẫn đến những hệ quả nhất định như một bên trở thành người đại diện theo pháp luật cho bên kia, cặp phối ngẫu đồng giới có thể nhận con nuôi hoặc áp dụng kỹ thuật hỗ trợ sinh sản để có con chung. Việc không ghi nhận các quan hệ này có thể dẫn đến các “lỗ hổng” “khoảng trống” trong xác lập, thực hiện, chấm dứt các quan hệ dân sự có</w:t>
      </w:r>
      <w:r w:rsidR="0001111E">
        <w:rPr>
          <w:sz w:val="27"/>
        </w:rPr>
        <w:t xml:space="preserve"> YTNN</w:t>
      </w:r>
      <w:r>
        <w:rPr>
          <w:sz w:val="27"/>
        </w:rPr>
        <w:t>.</w:t>
      </w:r>
      <w:r w:rsidR="008D4048">
        <w:rPr>
          <w:sz w:val="27"/>
        </w:rPr>
        <w:t xml:space="preserve"> Vì vậy, đây cũng là vấn đề cần được xem xét, nghiên cứu kỹ lưỡng trong bối cảnh hiện nay.</w:t>
      </w:r>
    </w:p>
    <w:p w:rsidR="00DF1B28" w:rsidRPr="00E713E2" w:rsidRDefault="00C22629" w:rsidP="00FF02B9">
      <w:pPr>
        <w:pStyle w:val="BodyTextIndent"/>
        <w:spacing w:before="80" w:after="80" w:line="252" w:lineRule="auto"/>
        <w:rPr>
          <w:b/>
          <w:sz w:val="27"/>
        </w:rPr>
      </w:pPr>
      <w:r w:rsidRPr="00E713E2">
        <w:rPr>
          <w:b/>
          <w:sz w:val="27"/>
        </w:rPr>
        <w:t>3. Đề xuất, kiến nghị</w:t>
      </w:r>
    </w:p>
    <w:p w:rsidR="00C65EB0" w:rsidRDefault="00C22629" w:rsidP="00FF02B9">
      <w:pPr>
        <w:pStyle w:val="BodyTextIndent"/>
        <w:spacing w:before="80" w:after="80" w:line="252" w:lineRule="auto"/>
        <w:rPr>
          <w:sz w:val="27"/>
        </w:rPr>
      </w:pPr>
      <w:r>
        <w:rPr>
          <w:sz w:val="27"/>
        </w:rPr>
        <w:t xml:space="preserve">- Về thể chế: </w:t>
      </w:r>
    </w:p>
    <w:p w:rsidR="00DB58D9" w:rsidRDefault="00213F4E" w:rsidP="00DB58D9">
      <w:pPr>
        <w:pStyle w:val="BodyTextIndent"/>
        <w:spacing w:before="80" w:after="80" w:line="252" w:lineRule="auto"/>
        <w:rPr>
          <w:sz w:val="27"/>
        </w:rPr>
      </w:pPr>
      <w:r>
        <w:rPr>
          <w:sz w:val="27"/>
        </w:rPr>
        <w:t>Đối với p</w:t>
      </w:r>
      <w:r w:rsidR="00C65EB0">
        <w:rPr>
          <w:sz w:val="27"/>
        </w:rPr>
        <w:t xml:space="preserve">háp luật </w:t>
      </w:r>
      <w:r w:rsidR="00C22629">
        <w:rPr>
          <w:sz w:val="27"/>
        </w:rPr>
        <w:t>trong nước</w:t>
      </w:r>
      <w:r>
        <w:rPr>
          <w:sz w:val="27"/>
        </w:rPr>
        <w:t>, đề nghị cơ quan chủ trì</w:t>
      </w:r>
      <w:r w:rsidR="00DB58D9">
        <w:rPr>
          <w:sz w:val="27"/>
        </w:rPr>
        <w:t xml:space="preserve"> nghiên cứu đề xuất việc sửa đổi bổ sung các quy định của Luật hôn nhân và gia đình vào thời điểm thích hợp.</w:t>
      </w:r>
    </w:p>
    <w:p w:rsidR="00C65EB0" w:rsidRDefault="00213F4E" w:rsidP="00FF02B9">
      <w:pPr>
        <w:pStyle w:val="BodyTextIndent"/>
        <w:spacing w:before="80" w:after="80" w:line="252" w:lineRule="auto"/>
        <w:rPr>
          <w:sz w:val="27"/>
        </w:rPr>
      </w:pPr>
      <w:r>
        <w:rPr>
          <w:sz w:val="27"/>
        </w:rPr>
        <w:t>Đối với đ</w:t>
      </w:r>
      <w:r w:rsidR="00C65EB0">
        <w:rPr>
          <w:sz w:val="27"/>
        </w:rPr>
        <w:t>iều ước quốc tế</w:t>
      </w:r>
      <w:r>
        <w:rPr>
          <w:sz w:val="27"/>
        </w:rPr>
        <w:t>, đề nghị tăng cường</w:t>
      </w:r>
      <w:r w:rsidR="00DB58D9">
        <w:rPr>
          <w:sz w:val="27"/>
        </w:rPr>
        <w:t xml:space="preserve"> nghiên cứu đề xuất việc ký kết, gia nhập các điều ước trong lĩnh vực hôn nhân và gia đình như các Công ước của Hội nghị La Hay về tư pháp quốc tế, đặc biệt là các Công ước La Hay về các khía cạnh dân sự của hành vi bắt cóc trẻ em quốc tế</w:t>
      </w:r>
      <w:r w:rsidR="00A914F1">
        <w:rPr>
          <w:sz w:val="27"/>
        </w:rPr>
        <w:t>.</w:t>
      </w:r>
      <w:r w:rsidR="00DB58D9">
        <w:rPr>
          <w:sz w:val="27"/>
        </w:rPr>
        <w:t xml:space="preserve"> </w:t>
      </w:r>
    </w:p>
    <w:p w:rsidR="00C65EB0" w:rsidRDefault="00C65EB0" w:rsidP="00FF02B9">
      <w:pPr>
        <w:pStyle w:val="BodyTextIndent"/>
        <w:spacing w:before="80" w:after="80" w:line="252" w:lineRule="auto"/>
        <w:rPr>
          <w:sz w:val="27"/>
        </w:rPr>
      </w:pPr>
      <w:r>
        <w:rPr>
          <w:sz w:val="27"/>
        </w:rPr>
        <w:t xml:space="preserve">- Về tổ chức thực hiện: </w:t>
      </w:r>
    </w:p>
    <w:p w:rsidR="007C5EE1" w:rsidRDefault="00E713E2" w:rsidP="00790547">
      <w:pPr>
        <w:pStyle w:val="BodyTextIndent"/>
        <w:spacing w:before="80" w:after="80" w:line="252" w:lineRule="auto"/>
        <w:rPr>
          <w:sz w:val="27"/>
        </w:rPr>
      </w:pPr>
      <w:r>
        <w:rPr>
          <w:sz w:val="27"/>
        </w:rPr>
        <w:t>Đ</w:t>
      </w:r>
      <w:r w:rsidR="00C65EB0">
        <w:rPr>
          <w:sz w:val="27"/>
        </w:rPr>
        <w:t xml:space="preserve">ề nghị Tòa án </w:t>
      </w:r>
      <w:r w:rsidR="00213F4E">
        <w:rPr>
          <w:sz w:val="27"/>
        </w:rPr>
        <w:t xml:space="preserve">nhân dân các cấp </w:t>
      </w:r>
      <w:r w:rsidR="00C65EB0">
        <w:rPr>
          <w:sz w:val="27"/>
        </w:rPr>
        <w:t xml:space="preserve">và các cơ quan có thẩm quyền tăng cường phối hợp gửi thông tin về việc công nhận và cho thi hành các bản án, quyết định về hôn nhân và gia đình của nước ngoài nói riêng và giải quyết các vụ việc </w:t>
      </w:r>
      <w:r w:rsidR="0001111E">
        <w:rPr>
          <w:sz w:val="27"/>
        </w:rPr>
        <w:t xml:space="preserve">HNGĐ </w:t>
      </w:r>
      <w:r w:rsidR="00C65EB0">
        <w:rPr>
          <w:sz w:val="27"/>
        </w:rPr>
        <w:t xml:space="preserve">có </w:t>
      </w:r>
      <w:r w:rsidR="0001111E">
        <w:rPr>
          <w:sz w:val="27"/>
        </w:rPr>
        <w:t xml:space="preserve">YTNN </w:t>
      </w:r>
      <w:r w:rsidR="00C65EB0">
        <w:rPr>
          <w:sz w:val="27"/>
        </w:rPr>
        <w:t>nói chung để Vụ Pháp luật quốc tế</w:t>
      </w:r>
      <w:r>
        <w:rPr>
          <w:sz w:val="27"/>
        </w:rPr>
        <w:t xml:space="preserve"> - Bộ Tư pháp</w:t>
      </w:r>
      <w:r w:rsidR="00C65EB0">
        <w:rPr>
          <w:sz w:val="27"/>
        </w:rPr>
        <w:t xml:space="preserve"> thực hiện tốt các nhiệm vụ được giao</w:t>
      </w:r>
      <w:r w:rsidR="00DB58D9">
        <w:rPr>
          <w:sz w:val="27"/>
        </w:rPr>
        <w:t xml:space="preserve"> bao gồm số lượng các vụ việc đã giải quyết, vướng mắc phát sinh</w:t>
      </w:r>
      <w:r w:rsidR="00790547">
        <w:rPr>
          <w:sz w:val="27"/>
        </w:rPr>
        <w:t xml:space="preserve"> trong thực tiễn</w:t>
      </w:r>
      <w:r w:rsidR="00DB58D9">
        <w:rPr>
          <w:sz w:val="27"/>
        </w:rPr>
        <w:t>.</w:t>
      </w:r>
    </w:p>
    <w:p w:rsidR="00E713E2" w:rsidRDefault="008D4048" w:rsidP="00790547">
      <w:pPr>
        <w:pStyle w:val="BodyTextIndent"/>
        <w:spacing w:before="80" w:after="80" w:line="252" w:lineRule="auto"/>
        <w:rPr>
          <w:sz w:val="27"/>
        </w:rPr>
      </w:pPr>
      <w:r>
        <w:rPr>
          <w:sz w:val="27"/>
        </w:rPr>
        <w:t>Kết luận</w:t>
      </w:r>
      <w:r w:rsidR="00E713E2">
        <w:rPr>
          <w:sz w:val="27"/>
        </w:rPr>
        <w:t xml:space="preserve"> sơ bộ có thể thấy </w:t>
      </w:r>
      <w:r w:rsidR="002E6F07">
        <w:rPr>
          <w:sz w:val="27"/>
        </w:rPr>
        <w:t xml:space="preserve">các quy định về tư pháp quốc tế trong </w:t>
      </w:r>
      <w:r>
        <w:rPr>
          <w:sz w:val="27"/>
        </w:rPr>
        <w:t xml:space="preserve">Luật HNGĐ của Việt Nam hiện nay </w:t>
      </w:r>
      <w:r w:rsidR="002E6F07">
        <w:rPr>
          <w:sz w:val="27"/>
        </w:rPr>
        <w:t>còn nhiều mâu thuẫn nội tại, mâu thuẫn với các đạo luật khác có liên quan và có những khoảng trống chưa được điều chỉnh.</w:t>
      </w:r>
      <w:r w:rsidR="00E55B02">
        <w:rPr>
          <w:sz w:val="27"/>
        </w:rPr>
        <w:t xml:space="preserve"> Vì vậy, cần thiết có những nghiên cứu sâu hơn kết hợp tổng kết các vướng mắc trong thực tiễn để </w:t>
      </w:r>
      <w:r w:rsidR="00546C76">
        <w:rPr>
          <w:sz w:val="27"/>
        </w:rPr>
        <w:t xml:space="preserve">đề xuất sửa đổi bổ sung Luật </w:t>
      </w:r>
      <w:r>
        <w:rPr>
          <w:sz w:val="27"/>
        </w:rPr>
        <w:t xml:space="preserve">HNGĐ </w:t>
      </w:r>
      <w:r w:rsidR="00546C76">
        <w:rPr>
          <w:sz w:val="27"/>
        </w:rPr>
        <w:t>vào thời điểm thích hợp</w:t>
      </w:r>
      <w:r>
        <w:rPr>
          <w:sz w:val="27"/>
        </w:rPr>
        <w:t xml:space="preserve"> nhằm đảm bảo quyền lợi tốt nhất cho trẻ em và phụ nữ, duy trì ổn định chế độ </w:t>
      </w:r>
      <w:r w:rsidR="0001111E">
        <w:rPr>
          <w:sz w:val="27"/>
        </w:rPr>
        <w:t xml:space="preserve">HNGĐ </w:t>
      </w:r>
      <w:bookmarkStart w:id="0" w:name="_GoBack"/>
      <w:bookmarkEnd w:id="0"/>
      <w:r>
        <w:rPr>
          <w:sz w:val="27"/>
        </w:rPr>
        <w:t>trong bối cảnh xã hội nhiều đổi thay, biến động như hiện nay</w:t>
      </w:r>
      <w:r w:rsidR="00546C76">
        <w:rPr>
          <w:sz w:val="27"/>
        </w:rPr>
        <w:t>.</w:t>
      </w:r>
    </w:p>
    <w:p w:rsidR="00E7419F" w:rsidRPr="00133268" w:rsidRDefault="00E7419F">
      <w:pPr>
        <w:rPr>
          <w:sz w:val="24"/>
        </w:rPr>
      </w:pPr>
    </w:p>
    <w:sectPr w:rsidR="00E7419F" w:rsidRPr="00133268" w:rsidSect="00084CB2">
      <w:footerReference w:type="default" r:id="rId9"/>
      <w:pgSz w:w="11907" w:h="16840" w:code="9"/>
      <w:pgMar w:top="1134" w:right="1134" w:bottom="567" w:left="1560"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706E" w:rsidRDefault="009A706E" w:rsidP="00F77853">
      <w:r>
        <w:separator/>
      </w:r>
    </w:p>
  </w:endnote>
  <w:endnote w:type="continuationSeparator" w:id="0">
    <w:p w:rsidR="009A706E" w:rsidRDefault="009A706E" w:rsidP="00F77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0881272"/>
      <w:docPartObj>
        <w:docPartGallery w:val="Page Numbers (Bottom of Page)"/>
        <w:docPartUnique/>
      </w:docPartObj>
    </w:sdtPr>
    <w:sdtEndPr>
      <w:rPr>
        <w:noProof/>
        <w:sz w:val="24"/>
      </w:rPr>
    </w:sdtEndPr>
    <w:sdtContent>
      <w:p w:rsidR="00F77853" w:rsidRPr="00F77853" w:rsidRDefault="00F77853">
        <w:pPr>
          <w:pStyle w:val="Footer"/>
          <w:jc w:val="center"/>
          <w:rPr>
            <w:sz w:val="24"/>
          </w:rPr>
        </w:pPr>
        <w:r w:rsidRPr="00F77853">
          <w:rPr>
            <w:sz w:val="24"/>
          </w:rPr>
          <w:fldChar w:fldCharType="begin"/>
        </w:r>
        <w:r w:rsidRPr="00F77853">
          <w:rPr>
            <w:sz w:val="24"/>
          </w:rPr>
          <w:instrText xml:space="preserve"> PAGE   \* MERGEFORMAT </w:instrText>
        </w:r>
        <w:r w:rsidRPr="00F77853">
          <w:rPr>
            <w:sz w:val="24"/>
          </w:rPr>
          <w:fldChar w:fldCharType="separate"/>
        </w:r>
        <w:r w:rsidR="009A706E">
          <w:rPr>
            <w:noProof/>
            <w:sz w:val="24"/>
          </w:rPr>
          <w:t>1</w:t>
        </w:r>
        <w:r w:rsidRPr="00F77853">
          <w:rPr>
            <w:noProof/>
            <w:sz w:val="24"/>
          </w:rPr>
          <w:fldChar w:fldCharType="end"/>
        </w:r>
      </w:p>
    </w:sdtContent>
  </w:sdt>
  <w:p w:rsidR="00F77853" w:rsidRDefault="00F778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706E" w:rsidRDefault="009A706E" w:rsidP="00F77853">
      <w:r>
        <w:separator/>
      </w:r>
    </w:p>
  </w:footnote>
  <w:footnote w:type="continuationSeparator" w:id="0">
    <w:p w:rsidR="009A706E" w:rsidRDefault="009A706E" w:rsidP="00F77853">
      <w:r>
        <w:continuationSeparator/>
      </w:r>
    </w:p>
  </w:footnote>
  <w:footnote w:id="1">
    <w:p w:rsidR="00EE37BE" w:rsidRDefault="00EE37BE">
      <w:pPr>
        <w:pStyle w:val="FootnoteText"/>
        <w:rPr>
          <w:rFonts w:ascii="Times New Roman" w:hAnsi="Times New Roman" w:cs="Times New Roman"/>
          <w:sz w:val="24"/>
          <w:szCs w:val="24"/>
        </w:rPr>
      </w:pPr>
      <w:r>
        <w:rPr>
          <w:rStyle w:val="FootnoteReference"/>
        </w:rPr>
        <w:footnoteRef/>
      </w:r>
      <w:r>
        <w:t xml:space="preserve"> </w:t>
      </w:r>
      <w:r w:rsidRPr="00C61E88">
        <w:rPr>
          <w:rFonts w:ascii="Times New Roman" w:hAnsi="Times New Roman" w:cs="Times New Roman"/>
          <w:sz w:val="24"/>
          <w:szCs w:val="24"/>
        </w:rPr>
        <w:t>Ba Lan, Bê</w:t>
      </w:r>
      <w:r>
        <w:rPr>
          <w:rFonts w:ascii="Times New Roman" w:hAnsi="Times New Roman" w:cs="Times New Roman"/>
          <w:sz w:val="24"/>
          <w:szCs w:val="24"/>
        </w:rPr>
        <w:t>larút,</w:t>
      </w:r>
      <w:r w:rsidRPr="00C61E88">
        <w:rPr>
          <w:rFonts w:ascii="Times New Roman" w:hAnsi="Times New Roman" w:cs="Times New Roman"/>
          <w:sz w:val="24"/>
          <w:szCs w:val="24"/>
        </w:rPr>
        <w:t xml:space="preserve"> Bungary, Cuba, Lào, Mông Cổ, Nga, Tiệp Khắc, Triều Tiên, Ucraina</w:t>
      </w:r>
      <w:r>
        <w:rPr>
          <w:rFonts w:ascii="Times New Roman" w:hAnsi="Times New Roman" w:cs="Times New Roman"/>
          <w:sz w:val="24"/>
          <w:szCs w:val="24"/>
        </w:rPr>
        <w:t>.</w:t>
      </w:r>
    </w:p>
    <w:p w:rsidR="00EE37BE" w:rsidRPr="00EE37BE" w:rsidRDefault="00EE37BE">
      <w:pPr>
        <w:pStyle w:val="FootnoteText"/>
        <w:rPr>
          <w:lang w:val="en-US"/>
        </w:rPr>
      </w:pPr>
      <w:r>
        <w:rPr>
          <w:rFonts w:ascii="Times New Roman" w:hAnsi="Times New Roman" w:cs="Times New Roman"/>
          <w:sz w:val="24"/>
          <w:szCs w:val="24"/>
        </w:rPr>
        <w:t>Trước đây Hiệp định ký kết với Hungary năm 1985 có các quy định về tư pháp quốc tế nhưng sau khi Hiệp định mới năm 2018 có hiệu lực vào ngày 6/3/2019</w:t>
      </w:r>
      <w:r w:rsidR="003F3DC0">
        <w:rPr>
          <w:rFonts w:ascii="Times New Roman" w:hAnsi="Times New Roman" w:cs="Times New Roman"/>
          <w:sz w:val="24"/>
          <w:szCs w:val="24"/>
        </w:rPr>
        <w:t>, các quy định về pháp luật áp dụng trong Hiệp định cũ đã bị bãi bỏ.</w:t>
      </w:r>
    </w:p>
  </w:footnote>
  <w:footnote w:id="2">
    <w:p w:rsidR="00E713E2" w:rsidRPr="00E713E2" w:rsidRDefault="00E713E2">
      <w:pPr>
        <w:pStyle w:val="FootnoteText"/>
        <w:rPr>
          <w:lang w:val="en-US"/>
        </w:rPr>
      </w:pPr>
      <w:r>
        <w:rPr>
          <w:rStyle w:val="FootnoteReference"/>
        </w:rPr>
        <w:footnoteRef/>
      </w:r>
      <w:r>
        <w:t xml:space="preserve"> </w:t>
      </w:r>
      <w:r w:rsidRPr="00E713E2">
        <w:t>https://assets.hcch.net/docs/c25b558d-c24e-482c-a92b-d452c168a394.pdf</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3103F"/>
    <w:multiLevelType w:val="hybridMultilevel"/>
    <w:tmpl w:val="479A76DE"/>
    <w:lvl w:ilvl="0" w:tplc="9EBC001A">
      <w:start w:val="97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6213672"/>
    <w:multiLevelType w:val="hybridMultilevel"/>
    <w:tmpl w:val="5A2826AE"/>
    <w:lvl w:ilvl="0" w:tplc="915E49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65B3A84"/>
    <w:multiLevelType w:val="hybridMultilevel"/>
    <w:tmpl w:val="FAC62266"/>
    <w:lvl w:ilvl="0" w:tplc="5262F12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419F"/>
    <w:rsid w:val="0000462B"/>
    <w:rsid w:val="0001111E"/>
    <w:rsid w:val="00084CB2"/>
    <w:rsid w:val="00090B50"/>
    <w:rsid w:val="000B094B"/>
    <w:rsid w:val="001060CB"/>
    <w:rsid w:val="00120460"/>
    <w:rsid w:val="00123814"/>
    <w:rsid w:val="0013322E"/>
    <w:rsid w:val="00133268"/>
    <w:rsid w:val="00143F86"/>
    <w:rsid w:val="00154D53"/>
    <w:rsid w:val="00173D15"/>
    <w:rsid w:val="0018423A"/>
    <w:rsid w:val="00193405"/>
    <w:rsid w:val="00194DF0"/>
    <w:rsid w:val="001B6D7E"/>
    <w:rsid w:val="001C51AE"/>
    <w:rsid w:val="001F275D"/>
    <w:rsid w:val="00213F4E"/>
    <w:rsid w:val="00235BCF"/>
    <w:rsid w:val="00262DFC"/>
    <w:rsid w:val="00282889"/>
    <w:rsid w:val="0028410D"/>
    <w:rsid w:val="00296CC0"/>
    <w:rsid w:val="002C0EB5"/>
    <w:rsid w:val="002E6F07"/>
    <w:rsid w:val="00305E90"/>
    <w:rsid w:val="003107D2"/>
    <w:rsid w:val="00334798"/>
    <w:rsid w:val="00337766"/>
    <w:rsid w:val="00357340"/>
    <w:rsid w:val="003619F5"/>
    <w:rsid w:val="0036695D"/>
    <w:rsid w:val="003D6537"/>
    <w:rsid w:val="003F3DC0"/>
    <w:rsid w:val="00444215"/>
    <w:rsid w:val="00476770"/>
    <w:rsid w:val="004856E0"/>
    <w:rsid w:val="00504BD3"/>
    <w:rsid w:val="005204C9"/>
    <w:rsid w:val="00520EB1"/>
    <w:rsid w:val="00537E81"/>
    <w:rsid w:val="00545181"/>
    <w:rsid w:val="00546C76"/>
    <w:rsid w:val="0056406D"/>
    <w:rsid w:val="005904BF"/>
    <w:rsid w:val="00595EAF"/>
    <w:rsid w:val="005B6371"/>
    <w:rsid w:val="005C2F4E"/>
    <w:rsid w:val="005E09B6"/>
    <w:rsid w:val="005E1D5B"/>
    <w:rsid w:val="006131B9"/>
    <w:rsid w:val="006600E7"/>
    <w:rsid w:val="00684E79"/>
    <w:rsid w:val="00686BC1"/>
    <w:rsid w:val="00695F34"/>
    <w:rsid w:val="00697B2E"/>
    <w:rsid w:val="00697F8F"/>
    <w:rsid w:val="006A0B06"/>
    <w:rsid w:val="006B0CA0"/>
    <w:rsid w:val="006B2B42"/>
    <w:rsid w:val="006C113D"/>
    <w:rsid w:val="006C34EE"/>
    <w:rsid w:val="006D0331"/>
    <w:rsid w:val="007008B5"/>
    <w:rsid w:val="0072134A"/>
    <w:rsid w:val="0072366F"/>
    <w:rsid w:val="00730CD3"/>
    <w:rsid w:val="00783EF5"/>
    <w:rsid w:val="0078594C"/>
    <w:rsid w:val="00790547"/>
    <w:rsid w:val="00791C69"/>
    <w:rsid w:val="007C2DD2"/>
    <w:rsid w:val="007C5EE1"/>
    <w:rsid w:val="00806494"/>
    <w:rsid w:val="00831BB7"/>
    <w:rsid w:val="0084164F"/>
    <w:rsid w:val="00857BDD"/>
    <w:rsid w:val="008705A6"/>
    <w:rsid w:val="00870716"/>
    <w:rsid w:val="00870F66"/>
    <w:rsid w:val="00881AA1"/>
    <w:rsid w:val="008C00E8"/>
    <w:rsid w:val="008D4048"/>
    <w:rsid w:val="00904B97"/>
    <w:rsid w:val="009151D3"/>
    <w:rsid w:val="00933C4A"/>
    <w:rsid w:val="0096008E"/>
    <w:rsid w:val="00983856"/>
    <w:rsid w:val="0099659B"/>
    <w:rsid w:val="009A3165"/>
    <w:rsid w:val="009A706E"/>
    <w:rsid w:val="009C331B"/>
    <w:rsid w:val="009D087D"/>
    <w:rsid w:val="009F0E41"/>
    <w:rsid w:val="00A17C0A"/>
    <w:rsid w:val="00A2252D"/>
    <w:rsid w:val="00A53F64"/>
    <w:rsid w:val="00A6691C"/>
    <w:rsid w:val="00A914F1"/>
    <w:rsid w:val="00AD0012"/>
    <w:rsid w:val="00AE4927"/>
    <w:rsid w:val="00B06E24"/>
    <w:rsid w:val="00B16F60"/>
    <w:rsid w:val="00B41AA1"/>
    <w:rsid w:val="00B55B13"/>
    <w:rsid w:val="00BE5E94"/>
    <w:rsid w:val="00BF731A"/>
    <w:rsid w:val="00C017BC"/>
    <w:rsid w:val="00C160D4"/>
    <w:rsid w:val="00C22629"/>
    <w:rsid w:val="00C33259"/>
    <w:rsid w:val="00C42F17"/>
    <w:rsid w:val="00C462E0"/>
    <w:rsid w:val="00C542E6"/>
    <w:rsid w:val="00C632AE"/>
    <w:rsid w:val="00C65EB0"/>
    <w:rsid w:val="00C77698"/>
    <w:rsid w:val="00C83548"/>
    <w:rsid w:val="00CA5253"/>
    <w:rsid w:val="00CB0AC0"/>
    <w:rsid w:val="00CC79DD"/>
    <w:rsid w:val="00CD2976"/>
    <w:rsid w:val="00CF02CC"/>
    <w:rsid w:val="00D02DB9"/>
    <w:rsid w:val="00D16868"/>
    <w:rsid w:val="00D35ACF"/>
    <w:rsid w:val="00D624F5"/>
    <w:rsid w:val="00D6450B"/>
    <w:rsid w:val="00D85453"/>
    <w:rsid w:val="00D9107F"/>
    <w:rsid w:val="00DB58D9"/>
    <w:rsid w:val="00DF01D1"/>
    <w:rsid w:val="00DF1B28"/>
    <w:rsid w:val="00E15BF8"/>
    <w:rsid w:val="00E33A08"/>
    <w:rsid w:val="00E55B02"/>
    <w:rsid w:val="00E713E2"/>
    <w:rsid w:val="00E7419F"/>
    <w:rsid w:val="00EB3897"/>
    <w:rsid w:val="00EC37CA"/>
    <w:rsid w:val="00ED6E68"/>
    <w:rsid w:val="00EE37BE"/>
    <w:rsid w:val="00EE72D7"/>
    <w:rsid w:val="00F14AEE"/>
    <w:rsid w:val="00F23E6C"/>
    <w:rsid w:val="00F37DCC"/>
    <w:rsid w:val="00F77853"/>
    <w:rsid w:val="00FA2163"/>
    <w:rsid w:val="00FB267B"/>
    <w:rsid w:val="00FC191F"/>
    <w:rsid w:val="00FC7FC7"/>
    <w:rsid w:val="00FF02B9"/>
    <w:rsid w:val="00FF21D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4"/>
      <w:lang w:val="en-US" w:eastAsia="en-US"/>
    </w:rPr>
  </w:style>
  <w:style w:type="paragraph" w:styleId="Heading5">
    <w:name w:val="heading 5"/>
    <w:basedOn w:val="Normal"/>
    <w:next w:val="Normal"/>
    <w:qFormat/>
    <w:rsid w:val="00E7419F"/>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741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E7419F"/>
    <w:pPr>
      <w:autoSpaceDE w:val="0"/>
      <w:autoSpaceDN w:val="0"/>
      <w:jc w:val="both"/>
    </w:pPr>
    <w:rPr>
      <w:rFonts w:ascii=".VnTime" w:hAnsi=".VnTime" w:cs=".VnTime"/>
      <w:szCs w:val="28"/>
      <w:lang w:val="en-GB"/>
    </w:rPr>
  </w:style>
  <w:style w:type="paragraph" w:styleId="FootnoteText">
    <w:name w:val="footnote text"/>
    <w:basedOn w:val="Normal"/>
    <w:semiHidden/>
    <w:rsid w:val="00E7419F"/>
    <w:pPr>
      <w:autoSpaceDE w:val="0"/>
      <w:autoSpaceDN w:val="0"/>
    </w:pPr>
    <w:rPr>
      <w:rFonts w:ascii=".VnTime" w:hAnsi=".VnTime" w:cs=".VnTime"/>
      <w:sz w:val="20"/>
      <w:szCs w:val="20"/>
      <w:lang w:val="en-GB"/>
    </w:rPr>
  </w:style>
  <w:style w:type="paragraph" w:styleId="BodyTextIndent">
    <w:name w:val="Body Text Indent"/>
    <w:basedOn w:val="Normal"/>
    <w:rsid w:val="00E7419F"/>
    <w:pPr>
      <w:spacing w:before="120" w:after="120"/>
      <w:ind w:firstLine="720"/>
      <w:jc w:val="both"/>
    </w:pPr>
    <w:rPr>
      <w:szCs w:val="27"/>
    </w:rPr>
  </w:style>
  <w:style w:type="paragraph" w:customStyle="1" w:styleId="CharCharCharChar">
    <w:name w:val="Char Char Char Char"/>
    <w:basedOn w:val="Normal"/>
    <w:semiHidden/>
    <w:rsid w:val="00E7419F"/>
    <w:pPr>
      <w:spacing w:after="160" w:line="240" w:lineRule="exact"/>
    </w:pPr>
    <w:rPr>
      <w:rFonts w:ascii="Arial" w:hAnsi="Arial"/>
      <w:sz w:val="22"/>
      <w:szCs w:val="22"/>
    </w:rPr>
  </w:style>
  <w:style w:type="character" w:styleId="Hyperlink">
    <w:name w:val="Hyperlink"/>
    <w:rsid w:val="00E7419F"/>
    <w:rPr>
      <w:color w:val="0000FF"/>
      <w:u w:val="single"/>
    </w:rPr>
  </w:style>
  <w:style w:type="paragraph" w:styleId="BalloonText">
    <w:name w:val="Balloon Text"/>
    <w:basedOn w:val="Normal"/>
    <w:semiHidden/>
    <w:rsid w:val="00262DFC"/>
    <w:rPr>
      <w:rFonts w:ascii="Tahoma" w:hAnsi="Tahoma" w:cs="Tahoma"/>
      <w:sz w:val="16"/>
      <w:szCs w:val="16"/>
    </w:rPr>
  </w:style>
  <w:style w:type="paragraph" w:styleId="NormalWeb">
    <w:name w:val="Normal (Web)"/>
    <w:basedOn w:val="Normal"/>
    <w:uiPriority w:val="99"/>
    <w:unhideWhenUsed/>
    <w:rsid w:val="00F14AEE"/>
    <w:pPr>
      <w:spacing w:before="100" w:beforeAutospacing="1" w:after="100" w:afterAutospacing="1"/>
    </w:pPr>
    <w:rPr>
      <w:sz w:val="24"/>
      <w:lang w:val="vi-VN" w:eastAsia="vi-VN"/>
    </w:rPr>
  </w:style>
  <w:style w:type="paragraph" w:styleId="Header">
    <w:name w:val="header"/>
    <w:basedOn w:val="Normal"/>
    <w:link w:val="HeaderChar"/>
    <w:rsid w:val="00F77853"/>
    <w:pPr>
      <w:tabs>
        <w:tab w:val="center" w:pos="4513"/>
        <w:tab w:val="right" w:pos="9026"/>
      </w:tabs>
    </w:pPr>
  </w:style>
  <w:style w:type="character" w:customStyle="1" w:styleId="HeaderChar">
    <w:name w:val="Header Char"/>
    <w:basedOn w:val="DefaultParagraphFont"/>
    <w:link w:val="Header"/>
    <w:rsid w:val="00F77853"/>
    <w:rPr>
      <w:sz w:val="28"/>
      <w:szCs w:val="24"/>
      <w:lang w:val="en-US" w:eastAsia="en-US"/>
    </w:rPr>
  </w:style>
  <w:style w:type="paragraph" w:styleId="Footer">
    <w:name w:val="footer"/>
    <w:basedOn w:val="Normal"/>
    <w:link w:val="FooterChar"/>
    <w:uiPriority w:val="99"/>
    <w:rsid w:val="00F77853"/>
    <w:pPr>
      <w:tabs>
        <w:tab w:val="center" w:pos="4513"/>
        <w:tab w:val="right" w:pos="9026"/>
      </w:tabs>
    </w:pPr>
  </w:style>
  <w:style w:type="character" w:customStyle="1" w:styleId="FooterChar">
    <w:name w:val="Footer Char"/>
    <w:basedOn w:val="DefaultParagraphFont"/>
    <w:link w:val="Footer"/>
    <w:uiPriority w:val="99"/>
    <w:rsid w:val="00F77853"/>
    <w:rPr>
      <w:sz w:val="28"/>
      <w:szCs w:val="24"/>
      <w:lang w:val="en-US" w:eastAsia="en-US"/>
    </w:rPr>
  </w:style>
  <w:style w:type="character" w:styleId="FootnoteReference">
    <w:name w:val="footnote reference"/>
    <w:basedOn w:val="DefaultParagraphFont"/>
    <w:rsid w:val="00E713E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4"/>
      <w:lang w:val="en-US" w:eastAsia="en-US"/>
    </w:rPr>
  </w:style>
  <w:style w:type="paragraph" w:styleId="Heading5">
    <w:name w:val="heading 5"/>
    <w:basedOn w:val="Normal"/>
    <w:next w:val="Normal"/>
    <w:qFormat/>
    <w:rsid w:val="00E7419F"/>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741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E7419F"/>
    <w:pPr>
      <w:autoSpaceDE w:val="0"/>
      <w:autoSpaceDN w:val="0"/>
      <w:jc w:val="both"/>
    </w:pPr>
    <w:rPr>
      <w:rFonts w:ascii=".VnTime" w:hAnsi=".VnTime" w:cs=".VnTime"/>
      <w:szCs w:val="28"/>
      <w:lang w:val="en-GB"/>
    </w:rPr>
  </w:style>
  <w:style w:type="paragraph" w:styleId="FootnoteText">
    <w:name w:val="footnote text"/>
    <w:basedOn w:val="Normal"/>
    <w:semiHidden/>
    <w:rsid w:val="00E7419F"/>
    <w:pPr>
      <w:autoSpaceDE w:val="0"/>
      <w:autoSpaceDN w:val="0"/>
    </w:pPr>
    <w:rPr>
      <w:rFonts w:ascii=".VnTime" w:hAnsi=".VnTime" w:cs=".VnTime"/>
      <w:sz w:val="20"/>
      <w:szCs w:val="20"/>
      <w:lang w:val="en-GB"/>
    </w:rPr>
  </w:style>
  <w:style w:type="paragraph" w:styleId="BodyTextIndent">
    <w:name w:val="Body Text Indent"/>
    <w:basedOn w:val="Normal"/>
    <w:rsid w:val="00E7419F"/>
    <w:pPr>
      <w:spacing w:before="120" w:after="120"/>
      <w:ind w:firstLine="720"/>
      <w:jc w:val="both"/>
    </w:pPr>
    <w:rPr>
      <w:szCs w:val="27"/>
    </w:rPr>
  </w:style>
  <w:style w:type="paragraph" w:customStyle="1" w:styleId="CharCharCharChar">
    <w:name w:val="Char Char Char Char"/>
    <w:basedOn w:val="Normal"/>
    <w:semiHidden/>
    <w:rsid w:val="00E7419F"/>
    <w:pPr>
      <w:spacing w:after="160" w:line="240" w:lineRule="exact"/>
    </w:pPr>
    <w:rPr>
      <w:rFonts w:ascii="Arial" w:hAnsi="Arial"/>
      <w:sz w:val="22"/>
      <w:szCs w:val="22"/>
    </w:rPr>
  </w:style>
  <w:style w:type="character" w:styleId="Hyperlink">
    <w:name w:val="Hyperlink"/>
    <w:rsid w:val="00E7419F"/>
    <w:rPr>
      <w:color w:val="0000FF"/>
      <w:u w:val="single"/>
    </w:rPr>
  </w:style>
  <w:style w:type="paragraph" w:styleId="BalloonText">
    <w:name w:val="Balloon Text"/>
    <w:basedOn w:val="Normal"/>
    <w:semiHidden/>
    <w:rsid w:val="00262DFC"/>
    <w:rPr>
      <w:rFonts w:ascii="Tahoma" w:hAnsi="Tahoma" w:cs="Tahoma"/>
      <w:sz w:val="16"/>
      <w:szCs w:val="16"/>
    </w:rPr>
  </w:style>
  <w:style w:type="paragraph" w:styleId="NormalWeb">
    <w:name w:val="Normal (Web)"/>
    <w:basedOn w:val="Normal"/>
    <w:uiPriority w:val="99"/>
    <w:unhideWhenUsed/>
    <w:rsid w:val="00F14AEE"/>
    <w:pPr>
      <w:spacing w:before="100" w:beforeAutospacing="1" w:after="100" w:afterAutospacing="1"/>
    </w:pPr>
    <w:rPr>
      <w:sz w:val="24"/>
      <w:lang w:val="vi-VN" w:eastAsia="vi-VN"/>
    </w:rPr>
  </w:style>
  <w:style w:type="paragraph" w:styleId="Header">
    <w:name w:val="header"/>
    <w:basedOn w:val="Normal"/>
    <w:link w:val="HeaderChar"/>
    <w:rsid w:val="00F77853"/>
    <w:pPr>
      <w:tabs>
        <w:tab w:val="center" w:pos="4513"/>
        <w:tab w:val="right" w:pos="9026"/>
      </w:tabs>
    </w:pPr>
  </w:style>
  <w:style w:type="character" w:customStyle="1" w:styleId="HeaderChar">
    <w:name w:val="Header Char"/>
    <w:basedOn w:val="DefaultParagraphFont"/>
    <w:link w:val="Header"/>
    <w:rsid w:val="00F77853"/>
    <w:rPr>
      <w:sz w:val="28"/>
      <w:szCs w:val="24"/>
      <w:lang w:val="en-US" w:eastAsia="en-US"/>
    </w:rPr>
  </w:style>
  <w:style w:type="paragraph" w:styleId="Footer">
    <w:name w:val="footer"/>
    <w:basedOn w:val="Normal"/>
    <w:link w:val="FooterChar"/>
    <w:uiPriority w:val="99"/>
    <w:rsid w:val="00F77853"/>
    <w:pPr>
      <w:tabs>
        <w:tab w:val="center" w:pos="4513"/>
        <w:tab w:val="right" w:pos="9026"/>
      </w:tabs>
    </w:pPr>
  </w:style>
  <w:style w:type="character" w:customStyle="1" w:styleId="FooterChar">
    <w:name w:val="Footer Char"/>
    <w:basedOn w:val="DefaultParagraphFont"/>
    <w:link w:val="Footer"/>
    <w:uiPriority w:val="99"/>
    <w:rsid w:val="00F77853"/>
    <w:rPr>
      <w:sz w:val="28"/>
      <w:szCs w:val="24"/>
      <w:lang w:val="en-US" w:eastAsia="en-US"/>
    </w:rPr>
  </w:style>
  <w:style w:type="character" w:styleId="FootnoteReference">
    <w:name w:val="footnote reference"/>
    <w:basedOn w:val="DefaultParagraphFont"/>
    <w:rsid w:val="00E713E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705740">
      <w:bodyDiv w:val="1"/>
      <w:marLeft w:val="0"/>
      <w:marRight w:val="0"/>
      <w:marTop w:val="0"/>
      <w:marBottom w:val="0"/>
      <w:divBdr>
        <w:top w:val="none" w:sz="0" w:space="0" w:color="auto"/>
        <w:left w:val="none" w:sz="0" w:space="0" w:color="auto"/>
        <w:bottom w:val="none" w:sz="0" w:space="0" w:color="auto"/>
        <w:right w:val="none" w:sz="0" w:space="0" w:color="auto"/>
      </w:divBdr>
    </w:div>
    <w:div w:id="97078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1BA10-27D2-40C9-9D27-6E203BA23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8</Pages>
  <Words>3401</Words>
  <Characters>19389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BỘ TƯ PHÁP</vt:lpstr>
    </vt:vector>
  </TitlesOfParts>
  <Company/>
  <LinksUpToDate>false</LinksUpToDate>
  <CharactersWithSpaces>22745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TƯ PHÁP</dc:title>
  <dc:creator>PC Thien IT</dc:creator>
  <cp:lastModifiedBy>user</cp:lastModifiedBy>
  <cp:revision>5</cp:revision>
  <cp:lastPrinted>2019-04-05T09:16:00Z</cp:lastPrinted>
  <dcterms:created xsi:type="dcterms:W3CDTF">2019-07-19T10:35:00Z</dcterms:created>
  <dcterms:modified xsi:type="dcterms:W3CDTF">2019-07-20T10:44:00Z</dcterms:modified>
</cp:coreProperties>
</file>